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09D" w:rsidRDefault="00D97556" w:rsidP="00D97556">
      <w:pPr>
        <w:jc w:val="center"/>
        <w:rPr>
          <w:rFonts w:ascii="宋体" w:eastAsia="宋体" w:hAnsi="宋体"/>
          <w:sz w:val="44"/>
          <w:szCs w:val="44"/>
        </w:rPr>
      </w:pPr>
      <w:r>
        <w:rPr>
          <w:rFonts w:ascii="宋体" w:eastAsia="宋体" w:hAnsi="宋体" w:hint="eastAsia"/>
          <w:sz w:val="44"/>
          <w:szCs w:val="44"/>
        </w:rPr>
        <w:t>民法典</w:t>
      </w:r>
      <w:r w:rsidR="009B409D" w:rsidRPr="009B409D">
        <w:rPr>
          <w:rFonts w:ascii="宋体" w:eastAsia="宋体" w:hAnsi="宋体" w:hint="eastAsia"/>
          <w:sz w:val="44"/>
          <w:szCs w:val="44"/>
        </w:rPr>
        <w:t>总则篇</w:t>
      </w:r>
      <w:r>
        <w:rPr>
          <w:rFonts w:ascii="宋体" w:eastAsia="宋体" w:hAnsi="宋体" w:hint="eastAsia"/>
          <w:sz w:val="44"/>
          <w:szCs w:val="44"/>
        </w:rPr>
        <w:t>司法解释</w:t>
      </w:r>
    </w:p>
    <w:p w:rsidR="00AB7981" w:rsidRDefault="009B409D" w:rsidP="00D97556">
      <w:pPr>
        <w:jc w:val="center"/>
        <w:rPr>
          <w:rFonts w:ascii="宋体" w:eastAsia="宋体" w:hAnsi="宋体" w:hint="eastAsia"/>
          <w:sz w:val="44"/>
          <w:szCs w:val="44"/>
        </w:rPr>
      </w:pPr>
      <w:bookmarkStart w:id="0" w:name="_GoBack"/>
      <w:bookmarkEnd w:id="0"/>
      <w:r>
        <w:rPr>
          <w:rFonts w:ascii="宋体" w:eastAsia="宋体" w:hAnsi="宋体" w:hint="eastAsia"/>
          <w:sz w:val="44"/>
          <w:szCs w:val="44"/>
        </w:rPr>
        <w:t>条文主旨汇编</w:t>
      </w:r>
    </w:p>
    <w:p w:rsidR="00D97556" w:rsidRDefault="00D97556" w:rsidP="00D97556">
      <w:pPr>
        <w:jc w:val="center"/>
        <w:rPr>
          <w:rFonts w:ascii="宋体" w:eastAsia="宋体" w:hAnsi="宋体"/>
          <w:sz w:val="24"/>
        </w:rPr>
      </w:pPr>
      <w:r>
        <w:rPr>
          <w:rFonts w:ascii="宋体" w:eastAsia="宋体" w:hAnsi="宋体" w:hint="eastAsia"/>
          <w:sz w:val="24"/>
        </w:rPr>
        <w:t>法释【2</w:t>
      </w:r>
      <w:r>
        <w:rPr>
          <w:rFonts w:ascii="宋体" w:eastAsia="宋体" w:hAnsi="宋体"/>
          <w:sz w:val="24"/>
        </w:rPr>
        <w:t>022</w:t>
      </w:r>
      <w:r>
        <w:rPr>
          <w:rFonts w:ascii="宋体" w:eastAsia="宋体" w:hAnsi="宋体" w:hint="eastAsia"/>
          <w:sz w:val="24"/>
        </w:rPr>
        <w:t>】6号</w:t>
      </w:r>
    </w:p>
    <w:p w:rsidR="00D97556" w:rsidRPr="00D97556" w:rsidRDefault="00D97556" w:rsidP="00D97556">
      <w:pPr>
        <w:jc w:val="center"/>
        <w:rPr>
          <w:rFonts w:ascii="宋体" w:eastAsia="宋体" w:hAnsi="宋体"/>
          <w:sz w:val="24"/>
        </w:rPr>
      </w:pPr>
      <w:r>
        <w:rPr>
          <w:rFonts w:ascii="宋体" w:eastAsia="宋体" w:hAnsi="宋体" w:hint="eastAsia"/>
          <w:sz w:val="24"/>
        </w:rPr>
        <w:t>制定依据：民法典、民事诉讼法</w:t>
      </w:r>
    </w:p>
    <w:p w:rsidR="00D97556" w:rsidRDefault="00D97556" w:rsidP="00D97556">
      <w:pPr>
        <w:jc w:val="center"/>
        <w:rPr>
          <w:rFonts w:ascii="宋体" w:eastAsia="宋体" w:hAnsi="宋体"/>
          <w:sz w:val="32"/>
          <w:szCs w:val="32"/>
        </w:rPr>
      </w:pPr>
      <w:r>
        <w:rPr>
          <w:rFonts w:ascii="宋体" w:eastAsia="宋体" w:hAnsi="宋体" w:hint="eastAsia"/>
          <w:sz w:val="32"/>
          <w:szCs w:val="32"/>
        </w:rPr>
        <w:t>一、一般规定</w:t>
      </w:r>
    </w:p>
    <w:p w:rsidR="00D97556" w:rsidRPr="00D97556" w:rsidRDefault="00D97556" w:rsidP="00D97556">
      <w:pPr>
        <w:pStyle w:val="a3"/>
        <w:numPr>
          <w:ilvl w:val="0"/>
          <w:numId w:val="1"/>
        </w:numPr>
        <w:ind w:firstLineChars="0"/>
        <w:rPr>
          <w:rFonts w:ascii="FangSong" w:eastAsia="FangSong" w:hAnsi="FangSong"/>
          <w:sz w:val="28"/>
          <w:szCs w:val="28"/>
        </w:rPr>
      </w:pPr>
      <w:r w:rsidRPr="00D97556">
        <w:rPr>
          <w:rFonts w:ascii="FangSong" w:eastAsia="FangSong" w:hAnsi="FangSong" w:hint="eastAsia"/>
          <w:sz w:val="28"/>
          <w:szCs w:val="28"/>
        </w:rPr>
        <w:t>关于人民法院如何适用《民法典》及其他民商事法律规范的规定。</w:t>
      </w:r>
    </w:p>
    <w:p w:rsidR="00D97556" w:rsidRDefault="00D97556"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关于习惯作为法源如何认定和具体适用的规定。</w:t>
      </w:r>
    </w:p>
    <w:p w:rsidR="00D97556" w:rsidRDefault="00D97556"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关于滥用民事权利的认定与法律后果的规定。</w:t>
      </w:r>
    </w:p>
    <w:p w:rsidR="00D97556" w:rsidRDefault="00D97556" w:rsidP="00FB7FF5">
      <w:pPr>
        <w:pStyle w:val="a3"/>
        <w:ind w:left="980" w:firstLineChars="0" w:firstLine="0"/>
        <w:jc w:val="center"/>
        <w:rPr>
          <w:rFonts w:ascii="FangSong" w:eastAsia="FangSong" w:hAnsi="FangSong"/>
          <w:sz w:val="28"/>
          <w:szCs w:val="28"/>
        </w:rPr>
      </w:pPr>
      <w:r>
        <w:rPr>
          <w:rFonts w:ascii="宋体" w:eastAsia="宋体" w:hAnsi="宋体" w:hint="eastAsia"/>
          <w:sz w:val="32"/>
          <w:szCs w:val="32"/>
        </w:rPr>
        <w:t>二、民事权利能力和民事行为能力</w:t>
      </w:r>
    </w:p>
    <w:p w:rsidR="00FB7FF5" w:rsidRDefault="00FB7FF5"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关于胎儿利益保护的规定。</w:t>
      </w:r>
    </w:p>
    <w:p w:rsidR="00FB7FF5" w:rsidRDefault="00FB7FF5"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关于认定限制民事行为能力人实施的民事法律行为是否与其年龄、智力、精神健康状况相适应的规定。</w:t>
      </w:r>
    </w:p>
    <w:p w:rsidR="00FB7FF5" w:rsidRDefault="00FB7FF5" w:rsidP="00FB7FF5">
      <w:pPr>
        <w:pStyle w:val="a3"/>
        <w:ind w:left="980" w:firstLineChars="0" w:firstLine="0"/>
        <w:jc w:val="center"/>
        <w:rPr>
          <w:rFonts w:ascii="FangSong" w:eastAsia="FangSong" w:hAnsi="FangSong"/>
          <w:sz w:val="28"/>
          <w:szCs w:val="28"/>
        </w:rPr>
      </w:pPr>
      <w:r>
        <w:rPr>
          <w:rFonts w:ascii="宋体" w:eastAsia="宋体" w:hAnsi="宋体" w:hint="eastAsia"/>
          <w:sz w:val="32"/>
          <w:szCs w:val="32"/>
        </w:rPr>
        <w:t xml:space="preserve">三、监 </w:t>
      </w:r>
      <w:r>
        <w:rPr>
          <w:rFonts w:ascii="宋体" w:eastAsia="宋体" w:hAnsi="宋体"/>
          <w:sz w:val="32"/>
          <w:szCs w:val="32"/>
        </w:rPr>
        <w:t xml:space="preserve"> </w:t>
      </w:r>
      <w:r>
        <w:rPr>
          <w:rFonts w:ascii="宋体" w:eastAsia="宋体" w:hAnsi="宋体" w:hint="eastAsia"/>
          <w:sz w:val="32"/>
          <w:szCs w:val="32"/>
        </w:rPr>
        <w:t>护</w:t>
      </w:r>
    </w:p>
    <w:p w:rsidR="00FB7FF5" w:rsidRDefault="00FB7FF5"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关于认定监护人监护能力的规定。</w:t>
      </w:r>
    </w:p>
    <w:p w:rsidR="00FB7FF5" w:rsidRDefault="00FB7FF5"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关于遗嘱指定监护人的细化规定。</w:t>
      </w:r>
    </w:p>
    <w:p w:rsidR="00FB7FF5" w:rsidRDefault="00FB7FF5"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关于协议监护的细化规定。</w:t>
      </w:r>
    </w:p>
    <w:p w:rsidR="00FB7FF5" w:rsidRDefault="00F609B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关于人民法院指定监护人的规定。</w:t>
      </w:r>
    </w:p>
    <w:p w:rsidR="00F609BF" w:rsidRDefault="00F609B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关于处理指定监护争议的规定。</w:t>
      </w:r>
    </w:p>
    <w:p w:rsidR="00F609BF" w:rsidRDefault="00F609B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关于意定监护协议解除及意定监护监督的规定。</w:t>
      </w:r>
    </w:p>
    <w:p w:rsidR="00F609BF" w:rsidRDefault="00F609B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关于申请变更监护人的规定</w:t>
      </w:r>
    </w:p>
    <w:p w:rsidR="00F609BF" w:rsidRDefault="00F609B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关于监护人将监护职责委托他人行使的规定。</w:t>
      </w:r>
    </w:p>
    <w:p w:rsidR="00F609BF" w:rsidRDefault="00F609BF" w:rsidP="00F609BF">
      <w:pPr>
        <w:pStyle w:val="a3"/>
        <w:ind w:left="980" w:firstLineChars="0" w:firstLine="0"/>
        <w:jc w:val="center"/>
        <w:rPr>
          <w:rFonts w:ascii="FangSong" w:eastAsia="FangSong" w:hAnsi="FangSong"/>
          <w:sz w:val="28"/>
          <w:szCs w:val="28"/>
        </w:rPr>
      </w:pPr>
      <w:r>
        <w:rPr>
          <w:rFonts w:ascii="宋体" w:eastAsia="宋体" w:hAnsi="宋体" w:hint="eastAsia"/>
          <w:sz w:val="32"/>
          <w:szCs w:val="32"/>
        </w:rPr>
        <w:t>四、宣告失踪和宣告死亡</w:t>
      </w:r>
    </w:p>
    <w:p w:rsidR="00F609BF" w:rsidRDefault="00F609B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lastRenderedPageBreak/>
        <w:t>关于申请宣告失踪的利害关系人范围的规定。</w:t>
      </w:r>
    </w:p>
    <w:p w:rsidR="00F609BF" w:rsidRDefault="00F609B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关于失踪人的财产代管人诉讼地位的规定。</w:t>
      </w:r>
    </w:p>
    <w:p w:rsidR="0061675F" w:rsidRDefault="0061675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关于申请宣告死亡的利害关系人范围的规定。</w:t>
      </w:r>
    </w:p>
    <w:p w:rsidR="0061675F" w:rsidRDefault="0061675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关于战争期间下落不明申请宣告死亡期间及其起算的规定。</w:t>
      </w:r>
    </w:p>
    <w:p w:rsidR="0061675F" w:rsidRDefault="0061675F" w:rsidP="0061675F">
      <w:pPr>
        <w:pStyle w:val="a3"/>
        <w:ind w:left="980" w:firstLineChars="0" w:firstLine="0"/>
        <w:jc w:val="center"/>
        <w:rPr>
          <w:rFonts w:ascii="FangSong" w:eastAsia="FangSong" w:hAnsi="FangSong"/>
          <w:sz w:val="28"/>
          <w:szCs w:val="28"/>
        </w:rPr>
      </w:pPr>
      <w:r>
        <w:rPr>
          <w:rFonts w:ascii="宋体" w:eastAsia="宋体" w:hAnsi="宋体" w:hint="eastAsia"/>
          <w:sz w:val="32"/>
          <w:szCs w:val="32"/>
        </w:rPr>
        <w:t>五、民事法律行为</w:t>
      </w:r>
    </w:p>
    <w:p w:rsidR="0061675F" w:rsidRDefault="0061675F"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关于如何认定民事法律行为的其他形式的规定。</w:t>
      </w:r>
    </w:p>
    <w:p w:rsidR="0061675F" w:rsidRPr="00DF2EB3" w:rsidRDefault="0061675F" w:rsidP="00D97556">
      <w:pPr>
        <w:pStyle w:val="a3"/>
        <w:numPr>
          <w:ilvl w:val="0"/>
          <w:numId w:val="1"/>
        </w:numPr>
        <w:ind w:firstLineChars="0"/>
        <w:rPr>
          <w:rFonts w:ascii="FangSong" w:eastAsia="FangSong" w:hAnsi="FangSong"/>
          <w:color w:val="FF0000"/>
          <w:sz w:val="28"/>
          <w:szCs w:val="28"/>
        </w:rPr>
      </w:pPr>
      <w:r>
        <w:rPr>
          <w:rFonts w:ascii="FangSong" w:eastAsia="FangSong" w:hAnsi="FangSong" w:hint="eastAsia"/>
          <w:sz w:val="28"/>
          <w:szCs w:val="28"/>
        </w:rPr>
        <w:t>关于如何认定重大误解的规定。</w:t>
      </w:r>
      <w:r w:rsidRPr="00DF2EB3">
        <w:rPr>
          <w:rFonts w:ascii="FangSong" w:eastAsia="FangSong" w:hAnsi="FangSong" w:hint="eastAsia"/>
          <w:color w:val="FF0000"/>
          <w:sz w:val="28"/>
          <w:szCs w:val="28"/>
        </w:rPr>
        <w:t>（行为性质、对方当事人或标的物品种、质量、规格、价格、数量等错误认识</w:t>
      </w:r>
      <w:r w:rsidR="00955385" w:rsidRPr="00DF2EB3">
        <w:rPr>
          <w:rFonts w:ascii="FangSong" w:eastAsia="FangSong" w:hAnsi="FangSong" w:hint="eastAsia"/>
          <w:color w:val="FF0000"/>
          <w:sz w:val="28"/>
          <w:szCs w:val="28"/>
        </w:rPr>
        <w:t>，通常理解如果不发生错误认识行为人就不会作出意思表示。认定标准：（一）行为人产生了错误认识；（二）错误认识具有重大性</w:t>
      </w:r>
      <w:r w:rsidR="00DF2EB3" w:rsidRPr="00DF2EB3">
        <w:rPr>
          <w:rFonts w:ascii="FangSong" w:eastAsia="FangSong" w:hAnsi="FangSong" w:hint="eastAsia"/>
          <w:color w:val="FF0000"/>
          <w:sz w:val="28"/>
          <w:szCs w:val="28"/>
        </w:rPr>
        <w:t>。民法典1</w:t>
      </w:r>
      <w:r w:rsidR="00DF2EB3" w:rsidRPr="00DF2EB3">
        <w:rPr>
          <w:rFonts w:ascii="FangSong" w:eastAsia="FangSong" w:hAnsi="FangSong"/>
          <w:color w:val="FF0000"/>
          <w:sz w:val="28"/>
          <w:szCs w:val="28"/>
        </w:rPr>
        <w:t>47</w:t>
      </w:r>
      <w:r w:rsidR="00DF2EB3" w:rsidRPr="00DF2EB3">
        <w:rPr>
          <w:rFonts w:ascii="FangSong" w:eastAsia="FangSong" w:hAnsi="FangSong" w:hint="eastAsia"/>
          <w:color w:val="FF0000"/>
          <w:sz w:val="28"/>
          <w:szCs w:val="28"/>
        </w:rPr>
        <w:t>条、1</w:t>
      </w:r>
      <w:r w:rsidR="00DF2EB3" w:rsidRPr="00DF2EB3">
        <w:rPr>
          <w:rFonts w:ascii="FangSong" w:eastAsia="FangSong" w:hAnsi="FangSong"/>
          <w:color w:val="FF0000"/>
          <w:sz w:val="28"/>
          <w:szCs w:val="28"/>
        </w:rPr>
        <w:t>52</w:t>
      </w:r>
      <w:r w:rsidR="00DF2EB3" w:rsidRPr="00DF2EB3">
        <w:rPr>
          <w:rFonts w:ascii="FangSong" w:eastAsia="FangSong" w:hAnsi="FangSong" w:hint="eastAsia"/>
          <w:color w:val="FF0000"/>
          <w:sz w:val="28"/>
          <w:szCs w:val="28"/>
        </w:rPr>
        <w:t>条）</w:t>
      </w:r>
    </w:p>
    <w:p w:rsidR="00DF2EB3" w:rsidRDefault="00DF2EB3"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关于意思表示的误传的规定。</w:t>
      </w:r>
    </w:p>
    <w:p w:rsidR="00DF2EB3" w:rsidRDefault="00DF2EB3"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关于欺诈认定的规定。</w:t>
      </w:r>
    </w:p>
    <w:p w:rsidR="00DF2EB3" w:rsidRDefault="00DF2EB3"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关于胁迫认定的规定。</w:t>
      </w:r>
    </w:p>
    <w:p w:rsidR="00DF2EB3" w:rsidRDefault="00DF2EB3"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关于民事法律行为不成立的法律后果的规定。</w:t>
      </w:r>
    </w:p>
    <w:p w:rsidR="005157BB" w:rsidRDefault="005157BB"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关于民事法律行为附不能条件时的效力规定。</w:t>
      </w:r>
    </w:p>
    <w:p w:rsidR="005157BB" w:rsidRDefault="005157BB" w:rsidP="005157BB">
      <w:pPr>
        <w:pStyle w:val="a3"/>
        <w:ind w:left="980" w:firstLineChars="0" w:firstLine="0"/>
        <w:jc w:val="center"/>
        <w:rPr>
          <w:rFonts w:ascii="FangSong" w:eastAsia="FangSong" w:hAnsi="FangSong"/>
          <w:sz w:val="28"/>
          <w:szCs w:val="28"/>
        </w:rPr>
      </w:pPr>
      <w:r>
        <w:rPr>
          <w:rFonts w:ascii="宋体" w:eastAsia="宋体" w:hAnsi="宋体" w:hint="eastAsia"/>
          <w:sz w:val="32"/>
          <w:szCs w:val="32"/>
        </w:rPr>
        <w:t xml:space="preserve">六、代 </w:t>
      </w:r>
      <w:r>
        <w:rPr>
          <w:rFonts w:ascii="宋体" w:eastAsia="宋体" w:hAnsi="宋体"/>
          <w:sz w:val="32"/>
          <w:szCs w:val="32"/>
        </w:rPr>
        <w:t xml:space="preserve"> </w:t>
      </w:r>
      <w:r>
        <w:rPr>
          <w:rFonts w:ascii="宋体" w:eastAsia="宋体" w:hAnsi="宋体" w:hint="eastAsia"/>
          <w:sz w:val="32"/>
          <w:szCs w:val="32"/>
        </w:rPr>
        <w:t>理</w:t>
      </w:r>
    </w:p>
    <w:p w:rsidR="005157BB" w:rsidRDefault="005157BB"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共同代理中部分代理人擅自行使代理权的法律后果的规定。</w:t>
      </w:r>
    </w:p>
    <w:p w:rsidR="005157BB" w:rsidRDefault="005157BB"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关于紧急情况下的复代理的规定。</w:t>
      </w:r>
    </w:p>
    <w:p w:rsidR="005157BB" w:rsidRDefault="005157BB"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关于无权代理中相对人善意推定的规定。</w:t>
      </w:r>
    </w:p>
    <w:p w:rsidR="005157BB" w:rsidRDefault="005157BB"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关于表见代理中认定相对人有理由相信行为人有代理</w:t>
      </w:r>
      <w:r>
        <w:rPr>
          <w:rFonts w:ascii="FangSong" w:eastAsia="FangSong" w:hAnsi="FangSong" w:hint="eastAsia"/>
          <w:sz w:val="28"/>
          <w:szCs w:val="28"/>
        </w:rPr>
        <w:lastRenderedPageBreak/>
        <w:t>权的规定。</w:t>
      </w:r>
    </w:p>
    <w:p w:rsidR="005157BB" w:rsidRDefault="005157BB"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关于追认意思表示的作出对象与生效时间的规定。</w:t>
      </w:r>
    </w:p>
    <w:p w:rsidR="005157BB" w:rsidRDefault="005157BB" w:rsidP="002E5B64">
      <w:pPr>
        <w:pStyle w:val="a3"/>
        <w:ind w:left="980" w:firstLineChars="0" w:firstLine="0"/>
        <w:jc w:val="center"/>
        <w:rPr>
          <w:rFonts w:ascii="FangSong" w:eastAsia="FangSong" w:hAnsi="FangSong"/>
          <w:sz w:val="28"/>
          <w:szCs w:val="28"/>
        </w:rPr>
      </w:pPr>
      <w:r>
        <w:rPr>
          <w:rFonts w:ascii="宋体" w:eastAsia="宋体" w:hAnsi="宋体" w:hint="eastAsia"/>
          <w:sz w:val="32"/>
          <w:szCs w:val="32"/>
        </w:rPr>
        <w:t>七、民事责任</w:t>
      </w:r>
    </w:p>
    <w:p w:rsidR="005157BB" w:rsidRDefault="002E5B64"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关于正当防卫的认定的规定。</w:t>
      </w:r>
    </w:p>
    <w:p w:rsidR="002E5B64" w:rsidRDefault="002E5B64"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关于防卫过当的认定和责任的规定。</w:t>
      </w:r>
    </w:p>
    <w:p w:rsidR="002E5B64" w:rsidRDefault="002E5B64"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关于认定紧急避险的规定。</w:t>
      </w:r>
    </w:p>
    <w:p w:rsidR="002E5B64" w:rsidRDefault="002E5B64"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关于避险不当的认定和责任的规定。</w:t>
      </w:r>
    </w:p>
    <w:p w:rsidR="002E5B64" w:rsidRDefault="002E5B64"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关于见义勇为受益人的补偿规则的规定。</w:t>
      </w:r>
    </w:p>
    <w:p w:rsidR="002E5B64" w:rsidRDefault="002E5B64" w:rsidP="002E5B64">
      <w:pPr>
        <w:pStyle w:val="a3"/>
        <w:ind w:left="980" w:firstLineChars="0" w:firstLine="0"/>
        <w:jc w:val="center"/>
        <w:rPr>
          <w:rFonts w:ascii="FangSong" w:eastAsia="FangSong" w:hAnsi="FangSong"/>
          <w:sz w:val="28"/>
          <w:szCs w:val="28"/>
        </w:rPr>
      </w:pPr>
      <w:r>
        <w:rPr>
          <w:rFonts w:ascii="宋体" w:eastAsia="宋体" w:hAnsi="宋体" w:hint="eastAsia"/>
          <w:sz w:val="32"/>
          <w:szCs w:val="32"/>
        </w:rPr>
        <w:t>八、诉讼时效</w:t>
      </w:r>
    </w:p>
    <w:p w:rsidR="002E5B64" w:rsidRDefault="002E5B64"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关于诉讼时效期间中止、中断和延长的规定。</w:t>
      </w:r>
    </w:p>
    <w:p w:rsidR="002E5B64" w:rsidRDefault="002E5B64"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关于无民事行为能力人、限制民事行为能力人权利受到侵害时诉讼时效期间如何起算的规定。</w:t>
      </w:r>
    </w:p>
    <w:p w:rsidR="002E5B64" w:rsidRDefault="002E5B64"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关于无民事行为能力人、限制民事行为能力人对法定代理人的请求权的诉讼时效期间的补充规定。</w:t>
      </w:r>
    </w:p>
    <w:p w:rsidR="002E7C87" w:rsidRDefault="002E7C87"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关于认定诉讼时效中断的规定。</w:t>
      </w:r>
    </w:p>
    <w:p w:rsidR="002E7C87" w:rsidRDefault="002E7C87" w:rsidP="002E7C87">
      <w:pPr>
        <w:pStyle w:val="a3"/>
        <w:ind w:left="980" w:firstLineChars="0" w:firstLine="0"/>
        <w:jc w:val="center"/>
        <w:rPr>
          <w:rFonts w:ascii="FangSong" w:eastAsia="FangSong" w:hAnsi="FangSong"/>
          <w:sz w:val="28"/>
          <w:szCs w:val="28"/>
        </w:rPr>
      </w:pPr>
      <w:r>
        <w:rPr>
          <w:rFonts w:ascii="宋体" w:eastAsia="宋体" w:hAnsi="宋体" w:hint="eastAsia"/>
          <w:sz w:val="32"/>
          <w:szCs w:val="32"/>
        </w:rPr>
        <w:t xml:space="preserve">九、附 </w:t>
      </w:r>
      <w:r>
        <w:rPr>
          <w:rFonts w:ascii="宋体" w:eastAsia="宋体" w:hAnsi="宋体"/>
          <w:sz w:val="32"/>
          <w:szCs w:val="32"/>
        </w:rPr>
        <w:t xml:space="preserve"> </w:t>
      </w:r>
      <w:r>
        <w:rPr>
          <w:rFonts w:ascii="宋体" w:eastAsia="宋体" w:hAnsi="宋体" w:hint="eastAsia"/>
          <w:sz w:val="32"/>
          <w:szCs w:val="32"/>
        </w:rPr>
        <w:t>则</w:t>
      </w:r>
    </w:p>
    <w:p w:rsidR="002E7C87" w:rsidRPr="00D97556" w:rsidRDefault="002E7C87" w:rsidP="00D97556">
      <w:pPr>
        <w:pStyle w:val="a3"/>
        <w:numPr>
          <w:ilvl w:val="0"/>
          <w:numId w:val="1"/>
        </w:numPr>
        <w:ind w:firstLineChars="0"/>
        <w:rPr>
          <w:rFonts w:ascii="FangSong" w:eastAsia="FangSong" w:hAnsi="FangSong"/>
          <w:sz w:val="28"/>
          <w:szCs w:val="28"/>
        </w:rPr>
      </w:pPr>
      <w:r>
        <w:rPr>
          <w:rFonts w:ascii="FangSong" w:eastAsia="FangSong" w:hAnsi="FangSong" w:hint="eastAsia"/>
          <w:sz w:val="28"/>
          <w:szCs w:val="28"/>
        </w:rPr>
        <w:t>关于司法解释施行日期和溯及力的规定。</w:t>
      </w:r>
    </w:p>
    <w:sectPr w:rsidR="002E7C87" w:rsidRPr="00D97556"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14A35"/>
    <w:multiLevelType w:val="hybridMultilevel"/>
    <w:tmpl w:val="1A58EC22"/>
    <w:lvl w:ilvl="0" w:tplc="2ECEEA40">
      <w:start w:val="1"/>
      <w:numFmt w:val="japaneseCounting"/>
      <w:lvlText w:val="第%1条"/>
      <w:lvlJc w:val="left"/>
      <w:pPr>
        <w:ind w:left="980" w:hanging="9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56"/>
    <w:rsid w:val="002E5B64"/>
    <w:rsid w:val="002E7C87"/>
    <w:rsid w:val="005157BB"/>
    <w:rsid w:val="0061675F"/>
    <w:rsid w:val="00955385"/>
    <w:rsid w:val="009B409D"/>
    <w:rsid w:val="00AB7981"/>
    <w:rsid w:val="00AF755C"/>
    <w:rsid w:val="00D97556"/>
    <w:rsid w:val="00DF2EB3"/>
    <w:rsid w:val="00F609BF"/>
    <w:rsid w:val="00FB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D5684B"/>
  <w15:chartTrackingRefBased/>
  <w15:docId w15:val="{7634EA8B-B433-5949-8AFC-0432C7E7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5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2022-07-02T07:09:00Z</dcterms:created>
  <dcterms:modified xsi:type="dcterms:W3CDTF">2022-11-30T03:59:00Z</dcterms:modified>
</cp:coreProperties>
</file>