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F8" w:rsidRPr="00CB7DF8" w:rsidRDefault="00CB7DF8" w:rsidP="00CB7DF8">
      <w:pPr>
        <w:jc w:val="center"/>
        <w:rPr>
          <w:rFonts w:ascii="宋体" w:eastAsia="宋体" w:hAnsi="宋体"/>
          <w:sz w:val="44"/>
          <w:szCs w:val="44"/>
        </w:rPr>
      </w:pPr>
      <w:r w:rsidRPr="00CB7DF8">
        <w:rPr>
          <w:rFonts w:ascii="宋体" w:eastAsia="宋体" w:hAnsi="宋体" w:hint="eastAsia"/>
          <w:sz w:val="44"/>
          <w:szCs w:val="44"/>
        </w:rPr>
        <w:t>民法典担保制度解释</w:t>
      </w:r>
      <w:r>
        <w:rPr>
          <w:rFonts w:ascii="宋体" w:eastAsia="宋体" w:hAnsi="宋体" w:hint="eastAsia"/>
          <w:sz w:val="44"/>
          <w:szCs w:val="44"/>
        </w:rPr>
        <w:t>条文主旨汇编</w:t>
      </w:r>
    </w:p>
    <w:p w:rsidR="00CB7DF8" w:rsidRPr="00CB7DF8" w:rsidRDefault="00CB7DF8" w:rsidP="00CB7DF8">
      <w:pPr>
        <w:pStyle w:val="a5"/>
        <w:ind w:left="740" w:firstLineChars="0" w:firstLine="0"/>
        <w:jc w:val="center"/>
        <w:rPr>
          <w:rFonts w:ascii="Kaiti SC" w:eastAsia="Kaiti SC" w:hAnsi="Kaiti SC"/>
          <w:sz w:val="28"/>
          <w:szCs w:val="28"/>
        </w:rPr>
      </w:pPr>
      <w:r w:rsidRPr="00CB7DF8">
        <w:rPr>
          <w:rFonts w:ascii="Kaiti SC" w:eastAsia="Kaiti SC" w:hAnsi="Kaiti SC" w:hint="eastAsia"/>
          <w:sz w:val="28"/>
          <w:szCs w:val="28"/>
        </w:rPr>
        <w:t>一、关于一般规定</w:t>
      </w:r>
      <w:bookmarkStart w:id="0" w:name="_GoBack"/>
      <w:bookmarkEnd w:id="0"/>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关于本解释的适用范围</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担保合同效力从属性的规定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担保范围从属性的规定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关于因债权人与他人存在委托关系，导致登记的担保物权人与实际的担保物权人不一致时，如何确定担保物权的归属并由谁来行使权利的规定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机关法人以及村居两委等特别法人的担保资格</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关于学校、幼儿园、医疗机构、养老机构等以公益为目的的非营利法人或者非法人组织提供担保的规定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公司的法定代表人超越权限为他人提供担保的效力</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公司对外担保时，无须机关决议的例外情形</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境内上市公司对外提供担保的规定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一人公司为其股东提供担保的效力及后果</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公司的分支机构对外提供担保之效力</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关于债务加入可以参照适用本解释关于公司为他人提供担保的有关规则处理的规定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关于共同担保情形下，承担了担保责任的担保人能否要求其他担保人分担的规定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担保人受让债权的性质和法律后果</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最高额担保中如何确定最高债权额限度的规定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lastRenderedPageBreak/>
        <w:t>借新还旧情况下担保人如何承担责任</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担保合同无效的情形下担保人承担责任的规定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承担担保责任或者赔偿责任的担保人向债务人追偿的规定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担保合同无效情况下，反担保合同的效力认定以及反担保人责任承担的规定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第三人提供物的担保纠纷案件可以适用民法典保证合同一章有关条款的规定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担保纠纷案件主管和管辖的规定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担保债务在债务人破产程序中停止计息规则</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债务人破产程序与担保人承担担保责任如何衔接，以及担保人行使追偿权相关问题</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债权人未及时履行通知义务，导致担保人在债务人破产时未能行使预先追偿权的后果</w:t>
      </w:r>
    </w:p>
    <w:p w:rsidR="00CB7DF8" w:rsidRPr="00CB7DF8" w:rsidRDefault="00CB7DF8" w:rsidP="00CB7DF8">
      <w:pPr>
        <w:pStyle w:val="a5"/>
        <w:ind w:left="740" w:firstLineChars="0" w:firstLine="0"/>
        <w:jc w:val="center"/>
        <w:rPr>
          <w:rFonts w:ascii="Kaiti SC" w:eastAsia="Kaiti SC" w:hAnsi="Kaiti SC"/>
          <w:sz w:val="28"/>
          <w:szCs w:val="28"/>
        </w:rPr>
      </w:pPr>
      <w:r w:rsidRPr="00CB7DF8">
        <w:rPr>
          <w:rFonts w:ascii="Kaiti SC" w:eastAsia="Kaiti SC" w:hAnsi="Kaiti SC" w:hint="eastAsia"/>
          <w:sz w:val="28"/>
          <w:szCs w:val="28"/>
        </w:rPr>
        <w:t>二、保证合同</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关于保证类型识别的规定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一般保证的诉讼当事人的规定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先诉抗辩权内涵填补的规定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一般保证诉讼时效的解释</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债权人向部分保证人依法行使权利的行为对其他保证人是否发生效力，以及债权人未在保证期间内依法向部分有追偿权的保证人行使权利的后果</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最高额保证的保证期间起算日认定的规定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lastRenderedPageBreak/>
        <w:t>债权人撤诉或者撤回仲裁申请，保证人的权利是否受到影响</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关于承担保证责任直至主债务本息还清为止等类似约定的性质的规定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保证合同无效时能否适用保证期间制度</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关于与保证期间有关的案件基本事实的查明以及保证责任消灭后，债权人书面通知保证人要求承担保证责任如何处理的规定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保证人对超过诉讼时效的债务提供保证或者承担保证责任，如何处理的规定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第三人向债权人提供差额补足、流动性支持等类似承诺文件法律性质认定</w:t>
      </w:r>
    </w:p>
    <w:p w:rsidR="00CB7DF8" w:rsidRPr="00CB7DF8" w:rsidRDefault="00CB7DF8" w:rsidP="00CB7DF8">
      <w:pPr>
        <w:pStyle w:val="a5"/>
        <w:ind w:left="740" w:firstLineChars="0" w:firstLine="0"/>
        <w:jc w:val="center"/>
        <w:rPr>
          <w:rFonts w:ascii="Kaiti SC" w:eastAsia="Kaiti SC" w:hAnsi="Kaiti SC"/>
          <w:sz w:val="28"/>
          <w:szCs w:val="28"/>
        </w:rPr>
      </w:pPr>
      <w:r w:rsidRPr="00CB7DF8">
        <w:rPr>
          <w:rFonts w:ascii="Kaiti SC" w:eastAsia="Kaiti SC" w:hAnsi="Kaiti SC" w:hint="eastAsia"/>
          <w:sz w:val="28"/>
          <w:szCs w:val="28"/>
        </w:rPr>
        <w:t>三、关于担保物权</w:t>
      </w:r>
    </w:p>
    <w:p w:rsidR="00CB7DF8" w:rsidRPr="00CB7DF8" w:rsidRDefault="00CB7DF8" w:rsidP="00CB7DF8">
      <w:pPr>
        <w:pStyle w:val="a5"/>
        <w:ind w:left="740" w:firstLineChars="0" w:firstLine="0"/>
        <w:jc w:val="center"/>
        <w:rPr>
          <w:rFonts w:ascii="Kaiti SC" w:eastAsia="Kaiti SC" w:hAnsi="Kaiti SC"/>
          <w:sz w:val="28"/>
          <w:szCs w:val="28"/>
        </w:rPr>
      </w:pPr>
      <w:r w:rsidRPr="00CB7DF8">
        <w:rPr>
          <w:rFonts w:ascii="Kaiti SC" w:eastAsia="Kaiti SC" w:hAnsi="Kaiti SC" w:hint="eastAsia"/>
          <w:sz w:val="28"/>
          <w:szCs w:val="28"/>
        </w:rPr>
        <w:t>（一）担保合同与担保物权的效力</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当事人违反民法典第3</w:t>
      </w:r>
      <w:r w:rsidRPr="00CB7DF8">
        <w:rPr>
          <w:rFonts w:ascii="Kaiti SC" w:eastAsia="Kaiti SC" w:hAnsi="Kaiti SC"/>
          <w:sz w:val="28"/>
          <w:szCs w:val="28"/>
        </w:rPr>
        <w:t>99</w:t>
      </w:r>
      <w:r w:rsidRPr="00CB7DF8">
        <w:rPr>
          <w:rFonts w:ascii="Kaiti SC" w:eastAsia="Kaiti SC" w:hAnsi="Kaiti SC" w:hint="eastAsia"/>
          <w:sz w:val="28"/>
          <w:szCs w:val="28"/>
        </w:rPr>
        <w:t>条第</w:t>
      </w:r>
      <w:r w:rsidRPr="00CB7DF8">
        <w:rPr>
          <w:rFonts w:ascii="Kaiti SC" w:eastAsia="Kaiti SC" w:hAnsi="Kaiti SC"/>
          <w:sz w:val="28"/>
          <w:szCs w:val="28"/>
        </w:rPr>
        <w:t>4,5</w:t>
      </w:r>
      <w:r w:rsidRPr="00CB7DF8">
        <w:rPr>
          <w:rFonts w:ascii="Kaiti SC" w:eastAsia="Kaiti SC" w:hAnsi="Kaiti SC" w:hint="eastAsia"/>
          <w:sz w:val="28"/>
          <w:szCs w:val="28"/>
        </w:rPr>
        <w:t>项规定所订抵押合同之效力</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关于从担保财产担保全部债权实现的角度对担保物权的不可分性所作的规定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债权的各个部分均受担保物权的担保这一担保物权不可分性的规定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关于抵押权在标的物上的效力及于从物的规定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抵押财产发生添附时抵押权效力范围</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lastRenderedPageBreak/>
        <w:t>抵押权之物上代位效力及其适用的规定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抵押财产转让的规定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主债权诉讼时效期间届满对担保物权影响的规定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担保物权实现程序的规定</w:t>
      </w:r>
    </w:p>
    <w:p w:rsidR="00CB7DF8" w:rsidRPr="00CB7DF8" w:rsidRDefault="00CB7DF8" w:rsidP="00CB7DF8">
      <w:pPr>
        <w:pStyle w:val="a5"/>
        <w:ind w:left="740" w:firstLineChars="0" w:firstLine="0"/>
        <w:jc w:val="center"/>
        <w:rPr>
          <w:rFonts w:ascii="Kaiti SC" w:eastAsia="Kaiti SC" w:hAnsi="Kaiti SC"/>
          <w:sz w:val="28"/>
          <w:szCs w:val="28"/>
        </w:rPr>
      </w:pPr>
      <w:r w:rsidRPr="00CB7DF8">
        <w:rPr>
          <w:rFonts w:ascii="Kaiti SC" w:eastAsia="Kaiti SC" w:hAnsi="Kaiti SC" w:hint="eastAsia"/>
          <w:sz w:val="28"/>
          <w:szCs w:val="28"/>
        </w:rPr>
        <w:t>（二）不动产抵押</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未办理不动产抵押登记时抵押人是否承担责任以及如何承担责任</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抵押合同约定的抵押财产、被担保债权范围与登记薄不一致时应如何处理</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抵押权人因登记机构的过错不能办理抵押登记，登记机构应当承担赔偿责任</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违法建筑物抵押合同无效及其效力补正</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以划拨方式取得的建设用地使用权或者其上的建筑物作为抵押物的抵押合同的效力及抵押权实现要求的规定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房地分别抵押时抵押时抵押权的效力范围和实现顺序等的规定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不动产抵押预告登记之效力</w:t>
      </w:r>
    </w:p>
    <w:p w:rsidR="00CB7DF8" w:rsidRPr="00CB7DF8" w:rsidRDefault="00CB7DF8" w:rsidP="00CB7DF8">
      <w:pPr>
        <w:pStyle w:val="a5"/>
        <w:ind w:left="740" w:firstLineChars="0" w:firstLine="0"/>
        <w:jc w:val="center"/>
        <w:rPr>
          <w:rFonts w:ascii="Kaiti SC" w:eastAsia="Kaiti SC" w:hAnsi="Kaiti SC"/>
          <w:sz w:val="28"/>
          <w:szCs w:val="28"/>
        </w:rPr>
      </w:pPr>
      <w:r w:rsidRPr="00CB7DF8">
        <w:rPr>
          <w:rFonts w:ascii="Kaiti SC" w:eastAsia="Kaiti SC" w:hAnsi="Kaiti SC" w:hint="eastAsia"/>
          <w:sz w:val="28"/>
          <w:szCs w:val="28"/>
        </w:rPr>
        <w:t>（三）动产与权利担保</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关于担保物特定化与担保成立的规定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未办理登记时动产抵押权之效力</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流动质物由第三方监管的情况下，质押是否有效设立以及监管人如何承担责任</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lastRenderedPageBreak/>
        <w:t>在动产抵押中如何认定正常经营活动买受人</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民法典第4</w:t>
      </w:r>
      <w:r w:rsidRPr="00CB7DF8">
        <w:rPr>
          <w:rFonts w:ascii="Kaiti SC" w:eastAsia="Kaiti SC" w:hAnsi="Kaiti SC"/>
          <w:sz w:val="28"/>
          <w:szCs w:val="28"/>
        </w:rPr>
        <w:t>16</w:t>
      </w:r>
      <w:r w:rsidRPr="00CB7DF8">
        <w:rPr>
          <w:rFonts w:ascii="Kaiti SC" w:eastAsia="Kaiti SC" w:hAnsi="Kaiti SC" w:hint="eastAsia"/>
          <w:sz w:val="28"/>
          <w:szCs w:val="28"/>
        </w:rPr>
        <w:t>条规定的价款超级优先权如何适用</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以汇票质押时质权设立条件</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仓单质押的规定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跟单信用证项下开证行基于提单享有的权利内容</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应收账款质押</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留置权是否成立的规定</w:t>
      </w:r>
    </w:p>
    <w:p w:rsidR="00CB7DF8" w:rsidRPr="00CB7DF8" w:rsidRDefault="00CB7DF8" w:rsidP="00CB7DF8">
      <w:pPr>
        <w:pStyle w:val="a5"/>
        <w:ind w:left="740" w:firstLineChars="0" w:firstLine="0"/>
        <w:jc w:val="center"/>
        <w:rPr>
          <w:rFonts w:ascii="Kaiti SC" w:eastAsia="Kaiti SC" w:hAnsi="Kaiti SC"/>
          <w:sz w:val="28"/>
          <w:szCs w:val="28"/>
        </w:rPr>
      </w:pPr>
      <w:r w:rsidRPr="00CB7DF8">
        <w:rPr>
          <w:rFonts w:ascii="Kaiti SC" w:eastAsia="Kaiti SC" w:hAnsi="Kaiti SC" w:hint="eastAsia"/>
          <w:sz w:val="28"/>
          <w:szCs w:val="28"/>
        </w:rPr>
        <w:t>四、关于非典型担保</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关于新类型担保中担保合同效力与物权效力的规定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所有权保留买卖中出卖人的所有权及其实现问题</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融资租赁中出租人对租赁物享有的所权及其实现程序</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同一应收账款同时存在保理、应收账款质押和债权转让，如何确定优先顺位、有关程序和实体问题，以及应收账款债权人向保理人返还保理融资款本息或回购应收账款债权后，能否请求应收账款债务人向其履行应收账款债务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所有权保留买卖、融资租赁等合同中，出卖人、出租人的所有权未经登记不得对抗的“善意第三人”的范围及其效力的规定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关于让与担保的认定及权利实现程序的规定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关于构成股权让与担保的情况下作为名义股东的债权人责任认定的规定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t>关于保证金质押设立及债权人优先受偿的规定</w:t>
      </w:r>
    </w:p>
    <w:p w:rsidR="00CB7DF8" w:rsidRPr="00CB7DF8" w:rsidRDefault="00CB7DF8" w:rsidP="00CB7DF8">
      <w:pPr>
        <w:pStyle w:val="a5"/>
        <w:numPr>
          <w:ilvl w:val="0"/>
          <w:numId w:val="1"/>
        </w:numPr>
        <w:ind w:firstLineChars="0"/>
        <w:rPr>
          <w:rFonts w:ascii="Kaiti SC" w:eastAsia="Kaiti SC" w:hAnsi="Kaiti SC"/>
          <w:sz w:val="28"/>
          <w:szCs w:val="28"/>
        </w:rPr>
      </w:pPr>
      <w:r w:rsidRPr="00CB7DF8">
        <w:rPr>
          <w:rFonts w:ascii="Kaiti SC" w:eastAsia="Kaiti SC" w:hAnsi="Kaiti SC" w:hint="eastAsia"/>
          <w:sz w:val="28"/>
          <w:szCs w:val="28"/>
        </w:rPr>
        <w:lastRenderedPageBreak/>
        <w:t>本解释时间效力的规定</w:t>
      </w:r>
    </w:p>
    <w:p w:rsidR="00CB7DF8" w:rsidRPr="00CB7DF8" w:rsidRDefault="00CB7DF8" w:rsidP="00CB7DF8">
      <w:pPr>
        <w:pStyle w:val="a5"/>
        <w:ind w:left="740" w:firstLineChars="0" w:firstLine="0"/>
        <w:rPr>
          <w:rFonts w:ascii="Kaiti SC" w:eastAsia="Kaiti SC" w:hAnsi="Kaiti SC"/>
          <w:sz w:val="28"/>
          <w:szCs w:val="28"/>
        </w:rPr>
      </w:pPr>
    </w:p>
    <w:p w:rsidR="00C97B07" w:rsidRPr="00CB7DF8" w:rsidRDefault="00C97B07">
      <w:pPr>
        <w:rPr>
          <w:rFonts w:ascii="Kaiti SC" w:eastAsia="Kaiti SC" w:hAnsi="Kaiti SC"/>
          <w:sz w:val="28"/>
          <w:szCs w:val="28"/>
        </w:rPr>
      </w:pPr>
    </w:p>
    <w:sectPr w:rsidR="00C97B07" w:rsidRPr="00CB7DF8"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3927"/>
    <w:multiLevelType w:val="hybridMultilevel"/>
    <w:tmpl w:val="986286BE"/>
    <w:lvl w:ilvl="0" w:tplc="3DECF092">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F8"/>
    <w:rsid w:val="00AF755C"/>
    <w:rsid w:val="00C97B07"/>
    <w:rsid w:val="00C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54AA3D"/>
  <w15:chartTrackingRefBased/>
  <w15:docId w15:val="{DFF43054-B4A2-B540-946E-95B55A4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7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DF8"/>
    <w:rPr>
      <w:rFonts w:ascii="宋体" w:eastAsia="宋体"/>
      <w:sz w:val="18"/>
      <w:szCs w:val="18"/>
    </w:rPr>
  </w:style>
  <w:style w:type="character" w:customStyle="1" w:styleId="a4">
    <w:name w:val="批注框文本 字符"/>
    <w:basedOn w:val="a0"/>
    <w:link w:val="a3"/>
    <w:uiPriority w:val="99"/>
    <w:semiHidden/>
    <w:rsid w:val="00CB7DF8"/>
    <w:rPr>
      <w:rFonts w:ascii="宋体" w:eastAsia="宋体"/>
      <w:sz w:val="18"/>
      <w:szCs w:val="18"/>
    </w:rPr>
  </w:style>
  <w:style w:type="paragraph" w:styleId="a5">
    <w:name w:val="List Paragraph"/>
    <w:basedOn w:val="a"/>
    <w:uiPriority w:val="34"/>
    <w:qFormat/>
    <w:rsid w:val="00CB7D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2022-11-30T05:02:00Z</dcterms:created>
  <dcterms:modified xsi:type="dcterms:W3CDTF">2022-11-30T05:06:00Z</dcterms:modified>
</cp:coreProperties>
</file>