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BE" w:rsidRPr="00F17DBE" w:rsidRDefault="00F17DBE" w:rsidP="00F17DBE">
      <w:pPr>
        <w:widowControl/>
        <w:shd w:val="clear" w:color="auto" w:fill="FFFFFF"/>
        <w:spacing w:after="240"/>
        <w:jc w:val="left"/>
        <w:rPr>
          <w:rFonts w:ascii="Helvetica Neue" w:eastAsia="宋体" w:hAnsi="Helvetica Neue" w:cs="宋体"/>
          <w:b/>
          <w:bCs/>
          <w:color w:val="333333"/>
          <w:kern w:val="0"/>
          <w:sz w:val="48"/>
          <w:szCs w:val="48"/>
        </w:rPr>
      </w:pPr>
      <w:r w:rsidRPr="00F17DBE">
        <w:rPr>
          <w:rFonts w:ascii="Helvetica Neue" w:eastAsia="宋体" w:hAnsi="Helvetica Neue" w:cs="宋体"/>
          <w:b/>
          <w:bCs/>
          <w:color w:val="333333"/>
          <w:kern w:val="0"/>
          <w:sz w:val="48"/>
          <w:szCs w:val="48"/>
        </w:rPr>
        <w:t>最高人民法院关于如何理解《最高人民法院关于破产法司法解释》第六十八条的请示的答复</w:t>
      </w:r>
    </w:p>
    <w:p w:rsidR="00F17DBE" w:rsidRPr="00F17DBE" w:rsidRDefault="00F17DBE" w:rsidP="00F17DBE">
      <w:pPr>
        <w:widowControl/>
        <w:shd w:val="clear" w:color="auto" w:fill="FFFFFF"/>
        <w:spacing w:line="540" w:lineRule="atLeast"/>
        <w:jc w:val="left"/>
        <w:rPr>
          <w:rFonts w:ascii="Helvetica Neue" w:eastAsia="宋体" w:hAnsi="Helvetica Neue" w:cs="宋体"/>
          <w:color w:val="333333"/>
          <w:kern w:val="0"/>
          <w:sz w:val="27"/>
          <w:szCs w:val="27"/>
        </w:rPr>
      </w:pPr>
      <w:bookmarkStart w:id="0" w:name="_GoBack"/>
      <w:bookmarkEnd w:id="0"/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发布部门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 xml:space="preserve">: 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最高人民法院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  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br/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发布文号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: [2003]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民二他字第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52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号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  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br/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河北省高级人民法院：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br/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 xml:space="preserve">　　你院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[2003]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冀民二请字第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4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>号《关于如何理解〈最高人民法院关于破产法司法解释〉第六十八条的请示》收悉。经研究，答复如下：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br/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 xml:space="preserve">　　人民法院受理破产案件前，针对债务人的财产，已经启动了执行程序，但该执行程序在人民法院受理破产案件后仅作出了执行裁定，尚未将财产交付给申请人的，不属于司法解释指的执行完毕的情形，该财产在债务人被宣告破产后应列入破产财产。但应注意以下情况：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br/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 xml:space="preserve">　　一、正在进行的执行程序不仅作出了生效的执行裁定，而且就被执行财产的处理履行了必要的评估拍卖程序，相关人已支付了对价，此时虽未办理变更登记手续，且非该相关人的过错，应视为执行财产已向申请人交付，该执行已完毕，该财产不应列入破产财产；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br/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 xml:space="preserve">　　二、人民法院针对被执行财产采取了相应执行措施，该财产已脱离债务人实际控制，视为已向权利人交付，该执行已完毕，该财产不应列入破产财产。</w:t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br/>
      </w:r>
      <w:r w:rsidRPr="00F17DBE">
        <w:rPr>
          <w:rFonts w:ascii="Helvetica Neue" w:eastAsia="宋体" w:hAnsi="Helvetica Neue" w:cs="宋体"/>
          <w:color w:val="333333"/>
          <w:kern w:val="0"/>
          <w:sz w:val="27"/>
          <w:szCs w:val="27"/>
        </w:rPr>
        <w:t xml:space="preserve">　　此复</w:t>
      </w:r>
    </w:p>
    <w:p w:rsidR="00F17DBE" w:rsidRPr="00F17DBE" w:rsidRDefault="00F17DBE" w:rsidP="00F17DBE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C503C3" w:rsidRDefault="00C503C3"/>
    <w:sectPr w:rsidR="00C503C3" w:rsidSect="00AF75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BE"/>
    <w:rsid w:val="00AF755C"/>
    <w:rsid w:val="00C503C3"/>
    <w:rsid w:val="00F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A38D0"/>
  <w15:chartTrackingRefBased/>
  <w15:docId w15:val="{2B32A492-77FA-5B46-B7F0-49A4A6F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l">
    <w:name w:val="tl"/>
    <w:basedOn w:val="a"/>
    <w:rsid w:val="00F17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bofficial">
    <w:name w:val="cb_official"/>
    <w:basedOn w:val="a0"/>
    <w:rsid w:val="00F17DBE"/>
  </w:style>
  <w:style w:type="character" w:customStyle="1" w:styleId="apple-converted-space">
    <w:name w:val="apple-converted-space"/>
    <w:basedOn w:val="a0"/>
    <w:rsid w:val="00F17DBE"/>
  </w:style>
  <w:style w:type="character" w:customStyle="1" w:styleId="cbtime">
    <w:name w:val="cb_time"/>
    <w:basedOn w:val="a0"/>
    <w:rsid w:val="00F17DBE"/>
  </w:style>
  <w:style w:type="character" w:customStyle="1" w:styleId="cbtimesub">
    <w:name w:val="cb_time_sub"/>
    <w:basedOn w:val="a0"/>
    <w:rsid w:val="00F17DBE"/>
  </w:style>
  <w:style w:type="character" w:customStyle="1" w:styleId="cbreadnum">
    <w:name w:val="cb_readnum"/>
    <w:basedOn w:val="a0"/>
    <w:rsid w:val="00F17DBE"/>
  </w:style>
  <w:style w:type="character" w:customStyle="1" w:styleId="click6id1010652">
    <w:name w:val="click6id1010652"/>
    <w:basedOn w:val="a0"/>
    <w:rsid w:val="00F17DBE"/>
  </w:style>
  <w:style w:type="paragraph" w:customStyle="1" w:styleId="daodutl">
    <w:name w:val="daodu_tl"/>
    <w:basedOn w:val="a"/>
    <w:rsid w:val="00F17D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93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2022-12-17T03:10:00Z</dcterms:created>
  <dcterms:modified xsi:type="dcterms:W3CDTF">2022-12-17T03:14:00Z</dcterms:modified>
</cp:coreProperties>
</file>