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DEB" w:rsidRPr="00D22A43" w:rsidRDefault="008B33FE">
      <w:pPr>
        <w:pStyle w:val="a3"/>
        <w:jc w:val="center"/>
        <w:rPr>
          <w:rFonts w:ascii="Times New Roman" w:hAnsi="Times New Roman" w:cs="Times New Roman"/>
          <w:sz w:val="36"/>
          <w:szCs w:val="36"/>
        </w:rPr>
      </w:pPr>
      <w:r w:rsidRPr="00D22A43">
        <w:rPr>
          <w:rFonts w:ascii="Times New Roman" w:hAnsi="Times New Roman" w:cs="Times New Roman"/>
          <w:sz w:val="36"/>
          <w:szCs w:val="36"/>
        </w:rPr>
        <w:t>中华人民共和国个人所得税法实施条例</w:t>
      </w:r>
    </w:p>
    <w:p w:rsidR="00717DEB" w:rsidRPr="00D22A43" w:rsidRDefault="008B33FE" w:rsidP="00D22A43">
      <w:pPr>
        <w:pStyle w:val="a3"/>
        <w:ind w:firstLineChars="200" w:firstLine="360"/>
        <w:jc w:val="center"/>
        <w:rPr>
          <w:rFonts w:ascii="楷体_GB2312" w:eastAsia="楷体_GB2312" w:hAnsi="楷体_GB2312" w:cs="楷体_GB2312"/>
          <w:sz w:val="18"/>
          <w:szCs w:val="18"/>
        </w:rPr>
      </w:pPr>
      <w:r w:rsidRPr="00D22A43">
        <w:rPr>
          <w:rFonts w:ascii="楷体_GB2312" w:eastAsia="楷体_GB2312" w:hAnsi="楷体_GB2312" w:cs="楷体_GB2312" w:hint="eastAsia"/>
          <w:sz w:val="18"/>
          <w:szCs w:val="18"/>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　自2019年1月1日起施行)</w:t>
      </w:r>
    </w:p>
    <w:p w:rsidR="00717DEB" w:rsidRPr="00D22A43" w:rsidRDefault="008B33FE">
      <w:pPr>
        <w:pStyle w:val="a3"/>
        <w:ind w:firstLineChars="200" w:firstLine="480"/>
        <w:rPr>
          <w:rFonts w:ascii="Kaiti SC" w:eastAsia="Kaiti SC" w:hAnsi="Kaiti SC" w:cs="Times New Roman"/>
          <w:color w:val="FF0000"/>
          <w:sz w:val="24"/>
          <w:szCs w:val="24"/>
        </w:rPr>
      </w:pPr>
      <w:r w:rsidRPr="00D22A43">
        <w:rPr>
          <w:rFonts w:ascii="Kaiti SC" w:eastAsia="Kaiti SC" w:hAnsi="Kaiti SC" w:cs="Times New Roman"/>
          <w:sz w:val="24"/>
          <w:szCs w:val="24"/>
        </w:rPr>
        <w:t>第一条　根据《中华人民共和国个人所得税法》(以下简称个人所得税法)，制定本条例。</w:t>
      </w:r>
      <w:r w:rsidR="00D22A43">
        <w:rPr>
          <w:rFonts w:ascii="Kaiti SC" w:eastAsia="Kaiti SC" w:hAnsi="Kaiti SC" w:cs="Times New Roman" w:hint="eastAsia"/>
          <w:color w:val="FF0000"/>
          <w:sz w:val="24"/>
          <w:szCs w:val="24"/>
        </w:rPr>
        <w:t>（细化规定）</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第二条　个人所得税法所称在中国境内有住所，是指因户籍、家庭、经济利益关系而在中国境内习惯性居住；所称从中国境内和境外取得的所得，分别是指来源于中国境内的所得和来源于中国境外的所得。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第三条　除国务院财政、税务主管部门另有规定外，下列所得，不论支付地点是否在中国境内，</w:t>
      </w:r>
      <w:r w:rsidRPr="00D22A43">
        <w:rPr>
          <w:rFonts w:ascii="Kaiti SC" w:eastAsia="Kaiti SC" w:hAnsi="Kaiti SC" w:cs="Times New Roman"/>
          <w:color w:val="FF0000"/>
          <w:sz w:val="24"/>
          <w:szCs w:val="24"/>
        </w:rPr>
        <w:t>均为来源于中国境内的所得：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(一)因任职、受雇、履约等在中国境内提供劳务取得的所得；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(二)将财产出租给承租人在中国境内使用而取得的所得；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(三)许可各种特许权在中国境内使用而取得的所得；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(四)转让中国境内的不动产等财产或者在中国境内转让其他财产取得的所得；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(五)从中国境内企业、事业单位、其他组织以及居民个人取得的利息、股息、红利所得。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第四条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lastRenderedPageBreak/>
        <w:t>第五条　在中国境内无住所的个人，在一个纳税年度内在中国境内居住累计不超过90天的，其来源于中国境内的所得，由境外雇主支付并且不由该雇主在中国境内的机构、场所负担的部分，免予缴纳个人所得税。</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第六条　个人所得税法规定的各项</w:t>
      </w:r>
      <w:r w:rsidRPr="00D22A43">
        <w:rPr>
          <w:rFonts w:ascii="Kaiti SC" w:eastAsia="Kaiti SC" w:hAnsi="Kaiti SC" w:cs="Times New Roman"/>
          <w:color w:val="FF0000"/>
          <w:sz w:val="24"/>
          <w:szCs w:val="24"/>
        </w:rPr>
        <w:t>个人所得的范围：</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(一)</w:t>
      </w:r>
      <w:r w:rsidRPr="00D22A43">
        <w:rPr>
          <w:rFonts w:ascii="Kaiti SC" w:eastAsia="Kaiti SC" w:hAnsi="Kaiti SC" w:cs="Times New Roman" w:hint="eastAsia"/>
          <w:color w:val="FF0000"/>
          <w:sz w:val="24"/>
          <w:szCs w:val="24"/>
        </w:rPr>
        <w:t>工资、薪金所得</w:t>
      </w:r>
      <w:r w:rsidRPr="00D22A43">
        <w:rPr>
          <w:rFonts w:ascii="Kaiti SC" w:eastAsia="Kaiti SC" w:hAnsi="Kaiti SC" w:cs="Times New Roman" w:hint="eastAsia"/>
          <w:sz w:val="24"/>
          <w:szCs w:val="24"/>
        </w:rPr>
        <w:t>，是指个人因任职或者受雇取得的工资、薪金、奖金、年终加薪、劳动分红、津贴、补贴以及与任职或者受雇有关的其他所得。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(二)</w:t>
      </w:r>
      <w:r w:rsidRPr="00D22A43">
        <w:rPr>
          <w:rFonts w:ascii="Kaiti SC" w:eastAsia="Kaiti SC" w:hAnsi="Kaiti SC" w:cs="Times New Roman" w:hint="eastAsia"/>
          <w:color w:val="FF0000"/>
          <w:sz w:val="24"/>
          <w:szCs w:val="24"/>
        </w:rPr>
        <w:t>劳务报酬所得</w:t>
      </w:r>
      <w:r w:rsidRPr="00D22A43">
        <w:rPr>
          <w:rFonts w:ascii="Kaiti SC" w:eastAsia="Kaiti SC" w:hAnsi="Kaiti SC" w:cs="Times New Roman" w:hint="eastAsia"/>
          <w:sz w:val="24"/>
          <w:szCs w:val="24"/>
        </w:rPr>
        <w:t>，是指个人从事劳务取得的所得，包括从事设计、装潢、安装、制图、化验、测试、医疗、法律、会计、咨询、讲学、翻译、审稿、书画、雕刻、影视、录音、录像、演出、表演、广告、展览、技术服务、介绍服务、经纪服务、代办服务以及其他劳务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(三)</w:t>
      </w:r>
      <w:r w:rsidRPr="00D22A43">
        <w:rPr>
          <w:rFonts w:ascii="Kaiti SC" w:eastAsia="Kaiti SC" w:hAnsi="Kaiti SC" w:cs="Times New Roman" w:hint="eastAsia"/>
          <w:color w:val="FF0000"/>
          <w:sz w:val="24"/>
          <w:szCs w:val="24"/>
        </w:rPr>
        <w:t>稿酬所得</w:t>
      </w:r>
      <w:r w:rsidRPr="00D22A43">
        <w:rPr>
          <w:rFonts w:ascii="Kaiti SC" w:eastAsia="Kaiti SC" w:hAnsi="Kaiti SC" w:cs="Times New Roman" w:hint="eastAsia"/>
          <w:sz w:val="24"/>
          <w:szCs w:val="24"/>
        </w:rPr>
        <w:t>，是指个人因其作品以图书、报刊等形式出版、发表而取得的所得。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(四)</w:t>
      </w:r>
      <w:r w:rsidRPr="00D22A43">
        <w:rPr>
          <w:rFonts w:ascii="Kaiti SC" w:eastAsia="Kaiti SC" w:hAnsi="Kaiti SC" w:cs="Times New Roman" w:hint="eastAsia"/>
          <w:color w:val="FF0000"/>
          <w:sz w:val="24"/>
          <w:szCs w:val="24"/>
        </w:rPr>
        <w:t>特许权使用费所得</w:t>
      </w:r>
      <w:r w:rsidRPr="00D22A43">
        <w:rPr>
          <w:rFonts w:ascii="Kaiti SC" w:eastAsia="Kaiti SC" w:hAnsi="Kaiti SC" w:cs="Times New Roman" w:hint="eastAsia"/>
          <w:sz w:val="24"/>
          <w:szCs w:val="24"/>
        </w:rPr>
        <w:t>，是指个人提供专利权、商标权、著作权、非专利技术以及其他特许权的使用权取得的所得；提供著作权的使用权取得的所得，不包括稿酬所得。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(五)</w:t>
      </w:r>
      <w:r w:rsidRPr="00D22A43">
        <w:rPr>
          <w:rFonts w:ascii="Kaiti SC" w:eastAsia="Kaiti SC" w:hAnsi="Kaiti SC" w:cs="Times New Roman" w:hint="eastAsia"/>
          <w:color w:val="FF0000"/>
          <w:sz w:val="24"/>
          <w:szCs w:val="24"/>
        </w:rPr>
        <w:t>经营所得</w:t>
      </w:r>
      <w:r w:rsidRPr="00D22A43">
        <w:rPr>
          <w:rFonts w:ascii="Kaiti SC" w:eastAsia="Kaiti SC" w:hAnsi="Kaiti SC" w:cs="Times New Roman" w:hint="eastAsia"/>
          <w:sz w:val="24"/>
          <w:szCs w:val="24"/>
        </w:rPr>
        <w:t>，是指：</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1．个体工商户从事生产、经营活动取得的所得，个人独资企业投资人、合伙企业的个人合伙人来源于境内注册的个人独资企业、合伙企业生产、经营的所得；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2．个人依法从事办学、医疗、咨询以及其他有偿服务活动取得的所得；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3．个人对企业、事业单位承包经营、承租经营以及转包、转租取得的所得；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4．个人从事其他生产、经营活动取得的所得。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lastRenderedPageBreak/>
        <w:t>(六)</w:t>
      </w:r>
      <w:r w:rsidRPr="00D22A43">
        <w:rPr>
          <w:rFonts w:ascii="Kaiti SC" w:eastAsia="Kaiti SC" w:hAnsi="Kaiti SC" w:cs="Times New Roman" w:hint="eastAsia"/>
          <w:color w:val="FF0000"/>
          <w:sz w:val="24"/>
          <w:szCs w:val="24"/>
        </w:rPr>
        <w:t>利息、股息、红利所得</w:t>
      </w:r>
      <w:r w:rsidRPr="00D22A43">
        <w:rPr>
          <w:rFonts w:ascii="Kaiti SC" w:eastAsia="Kaiti SC" w:hAnsi="Kaiti SC" w:cs="Times New Roman" w:hint="eastAsia"/>
          <w:sz w:val="24"/>
          <w:szCs w:val="24"/>
        </w:rPr>
        <w:t>，是指个人拥有债权、股权等而取得的利息、股息、红利所得。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(七)</w:t>
      </w:r>
      <w:r w:rsidRPr="00D22A43">
        <w:rPr>
          <w:rFonts w:ascii="Kaiti SC" w:eastAsia="Kaiti SC" w:hAnsi="Kaiti SC" w:cs="Times New Roman" w:hint="eastAsia"/>
          <w:color w:val="FF0000"/>
          <w:sz w:val="24"/>
          <w:szCs w:val="24"/>
        </w:rPr>
        <w:t>财产租赁所得</w:t>
      </w:r>
      <w:r w:rsidRPr="00D22A43">
        <w:rPr>
          <w:rFonts w:ascii="Kaiti SC" w:eastAsia="Kaiti SC" w:hAnsi="Kaiti SC" w:cs="Times New Roman" w:hint="eastAsia"/>
          <w:sz w:val="24"/>
          <w:szCs w:val="24"/>
        </w:rPr>
        <w:t>，是指个人出租不动产、机器设备、车船以及其他财产取得的所得。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(八)</w:t>
      </w:r>
      <w:r w:rsidRPr="00D22A43">
        <w:rPr>
          <w:rFonts w:ascii="Kaiti SC" w:eastAsia="Kaiti SC" w:hAnsi="Kaiti SC" w:cs="Times New Roman" w:hint="eastAsia"/>
          <w:color w:val="FF0000"/>
          <w:sz w:val="24"/>
          <w:szCs w:val="24"/>
        </w:rPr>
        <w:t>财产转让所得</w:t>
      </w:r>
      <w:r w:rsidRPr="00D22A43">
        <w:rPr>
          <w:rFonts w:ascii="Kaiti SC" w:eastAsia="Kaiti SC" w:hAnsi="Kaiti SC" w:cs="Times New Roman" w:hint="eastAsia"/>
          <w:sz w:val="24"/>
          <w:szCs w:val="24"/>
        </w:rPr>
        <w:t>，是指个人转让有价证券、股权、合伙企业中的财产份额、不动产、机器设备、车船以及其他财产取得的所得。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(九)偶然所得，是指个人得奖、中奖、中彩以及其他偶然性质的所得。</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hint="eastAsia"/>
          <w:sz w:val="24"/>
          <w:szCs w:val="24"/>
        </w:rPr>
        <w:t>个人取得的所得，难以界定应纳税所得项目的，由国务院税务主管部门确定。</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第七条　对股票转让所得征收个人所得税的办法，由国务院另行规定，并报全国人民代表大会常务委员会备案。</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第八条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第九条　个人所得税法第四条第一款第二项所称国债利息，是指个人持有中华人民共和国财政部发行的债券而取得的利息；所称国家发行的金融债券利息，是指个人持有经国务院批准发行的金融债券而取得的利息。</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第十条　个人所得税法第四条第一款第三项所称按照国家统一规定发给的补贴、津贴，是指按照国务院规定发给的政府特殊津贴、院士津贴，以及国务院规定免予缴纳个人所得税的其他补贴、津贴。</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第十一条　个人所得税法第四条第一款第四项所称</w:t>
      </w:r>
      <w:r w:rsidRPr="00D22A43">
        <w:rPr>
          <w:rFonts w:ascii="Kaiti SC" w:eastAsia="Kaiti SC" w:hAnsi="Kaiti SC" w:cs="Times New Roman"/>
          <w:color w:val="FF0000"/>
          <w:sz w:val="24"/>
          <w:szCs w:val="24"/>
        </w:rPr>
        <w:t>福利费</w:t>
      </w:r>
      <w:r w:rsidRPr="00D22A43">
        <w:rPr>
          <w:rFonts w:ascii="Kaiti SC" w:eastAsia="Kaiti SC" w:hAnsi="Kaiti SC" w:cs="Times New Roman"/>
          <w:sz w:val="24"/>
          <w:szCs w:val="24"/>
        </w:rPr>
        <w:t>，是指根据国家有</w:t>
      </w:r>
      <w:r w:rsidRPr="00D22A43">
        <w:rPr>
          <w:rFonts w:ascii="Kaiti SC" w:eastAsia="Kaiti SC" w:hAnsi="Kaiti SC" w:cs="Times New Roman"/>
          <w:sz w:val="24"/>
          <w:szCs w:val="24"/>
        </w:rPr>
        <w:lastRenderedPageBreak/>
        <w:t>关规定，从企业、事业单位、国家机关、社会组织提留的福利费或者工会经费中支付给个人的生活补助费；所称救济金，是指各级人民政府民政部门支付给个人的生活困难补助费。</w:t>
      </w:r>
    </w:p>
    <w:p w:rsidR="00717DEB" w:rsidRPr="00D22A43" w:rsidRDefault="008B33FE">
      <w:pPr>
        <w:pStyle w:val="a3"/>
        <w:ind w:firstLineChars="200" w:firstLine="480"/>
        <w:rPr>
          <w:rFonts w:ascii="Kaiti SC" w:eastAsia="Kaiti SC" w:hAnsi="Kaiti SC" w:cs="Times New Roman"/>
          <w:sz w:val="24"/>
          <w:szCs w:val="24"/>
        </w:rPr>
      </w:pPr>
      <w:r w:rsidRPr="00D22A43">
        <w:rPr>
          <w:rFonts w:ascii="Kaiti SC" w:eastAsia="Kaiti SC" w:hAnsi="Kaiti SC" w:cs="Times New Roman"/>
          <w:sz w:val="24"/>
          <w:szCs w:val="24"/>
        </w:rPr>
        <w:t>第十二条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第十三条　个人所得税法第六条第一款第一项所称依法确定的</w:t>
      </w:r>
      <w:r w:rsidRPr="002621A2">
        <w:rPr>
          <w:rFonts w:ascii="Kaiti SC" w:eastAsia="Kaiti SC" w:hAnsi="Kaiti SC" w:cs="Times New Roman"/>
          <w:color w:val="FF0000"/>
          <w:sz w:val="24"/>
          <w:szCs w:val="24"/>
        </w:rPr>
        <w:t>其他扣除</w:t>
      </w:r>
      <w:r w:rsidRPr="002621A2">
        <w:rPr>
          <w:rFonts w:ascii="Kaiti SC" w:eastAsia="Kaiti SC" w:hAnsi="Kaiti SC" w:cs="Times New Roman"/>
          <w:sz w:val="24"/>
          <w:szCs w:val="24"/>
        </w:rPr>
        <w:t>，包括个人缴付符合国家规定的</w:t>
      </w:r>
      <w:r w:rsidRPr="002621A2">
        <w:rPr>
          <w:rFonts w:ascii="Kaiti SC" w:eastAsia="Kaiti SC" w:hAnsi="Kaiti SC" w:cs="Times New Roman"/>
          <w:color w:val="FF0000"/>
          <w:sz w:val="24"/>
          <w:szCs w:val="24"/>
        </w:rPr>
        <w:t>企业年金、职业年金</w:t>
      </w:r>
      <w:r w:rsidRPr="002621A2">
        <w:rPr>
          <w:rFonts w:ascii="Kaiti SC" w:eastAsia="Kaiti SC" w:hAnsi="Kaiti SC" w:cs="Times New Roman"/>
          <w:sz w:val="24"/>
          <w:szCs w:val="24"/>
        </w:rPr>
        <w:t>，个人购买符合国家规定的商业健康保险、税收递延型商业养老保险的支出，以及国务院规定可以扣除的其他项目。</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专项扣除、专项附加扣除和依法确定的其他扣除，以居民个人一个纳税年度的应纳税所得额为限额；一个纳税年度扣除不完的，不结转以后年度扣除。</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第十四条　个人所得税法第六条第一款第二项、第四项、第六项所称每次，分别按照下列方法确定：</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(一)劳务报酬所得、稿酬所得、特许权使用费所得，属于一次性收入的，以取得该项收入为一次；属于同一项目连续性收入的，以一个月内取得的收入为一次。</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(二)财产租赁所得，以一个月内取得的收入为一次。</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(三)利息、股息、红利所得，以支付利息、股息、红利时取得的收入为一次。</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(四)偶然所得，以每次取得该项收入为一次。</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第十五条　个人所得税法第六条第一款第三项所称成本、费用，是指生产、</w:t>
      </w:r>
      <w:r w:rsidRPr="002621A2">
        <w:rPr>
          <w:rFonts w:ascii="Kaiti SC" w:eastAsia="Kaiti SC" w:hAnsi="Kaiti SC" w:cs="Times New Roman"/>
          <w:sz w:val="24"/>
          <w:szCs w:val="24"/>
        </w:rPr>
        <w:lastRenderedPageBreak/>
        <w:t>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取得经营所得的个人，没有综合所得的，计算其每一纳税年度的应纳税所得额时，应当减除费用6万元、专项扣除、专项附加扣除以及依法确定的其他扣除。专项附加扣除在办理汇算清缴时减除。</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从事生产、经营活动，未提供完整、准确的纳税资料，不能正确计算应纳税所得额的，由主管税务机关核定应纳税所得额或者应纳税额。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第十六条　个人所得税法第六条第一款第五项规定的财产原值，按照下列方法确定：</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(一)有价证券，为买入价以及买入时按照规定交纳的有关费用；</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(二)建筑物，为建造费或者购进价格以及其他有关费用；</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(三)土地使用权，为取得土地使用权所支付的金额、开发土地的费用以及其他有关费用；</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(四)机器设备、车船，为购进价格、运输费、安装费以及其他有关费用。</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其他财产，参照前款规定的方法确定财产原值。</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纳税人未提供完整、准确的财产原值凭证，不能按照本条第一款规定的方法确定财产原值的，由主管税务机关核定财产原值。</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个人所得税法第六条第一款第五项所称合理费用，是指卖出财产时按照规定支付的有关税费。</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第十七条　财产转让所得，按照一次转让财产的收入额减除财产原值和合理</w:t>
      </w:r>
      <w:r w:rsidRPr="002621A2">
        <w:rPr>
          <w:rFonts w:ascii="Kaiti SC" w:eastAsia="Kaiti SC" w:hAnsi="Kaiti SC" w:cs="Times New Roman"/>
          <w:sz w:val="24"/>
          <w:szCs w:val="24"/>
        </w:rPr>
        <w:lastRenderedPageBreak/>
        <w:t>费用后的余额计算纳税。</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第十八条　两个以上的个人共同取得同一项目收入的，应当对每个人取得的收入分别按照个人所得税法的规定计算纳税。</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第十九条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第二十条　居民个人从中国境内和境外取得的综合所得、经营所得，应当分别合并计算应纳税额；从中国境内和境外取得的其他所得，应当分别单独计算应纳税额。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第二十一条　个人所得税法第七条所称已在境外缴纳的个人所得税税额，是指居民个人来源于中国境外的所得，依照该所得来源国家(地区)的法律应当缴纳并且实际已经缴纳的所得税税额。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w:t>
      </w:r>
      <w:r w:rsidRPr="002621A2">
        <w:rPr>
          <w:rFonts w:ascii="Kaiti SC" w:eastAsia="Kaiti SC" w:hAnsi="Kaiti SC" w:cs="Times New Roman" w:hint="eastAsia"/>
          <w:sz w:val="24"/>
          <w:szCs w:val="24"/>
        </w:rPr>
        <w:lastRenderedPageBreak/>
        <w:t>所得的抵免限额的余额中补扣。补扣期限最长不得超过五年。</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第二十二条　居民个人申请抵免已在境外缴纳的个人所得税税额，应当提供境外税务机关出具的税款所属年度的有关纳税凭证。</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第二十三条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第二十四条　扣缴义务人向个人支付应税款项时，应当依照个人所得税法规定预扣或者代扣税款，按时缴库，并专项记载备查。</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前款所称支付，包括现金支付、汇拨支付、转账支付和以有价证券、实物以及其他形式的支付。</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第二十五条　取得综合所得需要办理汇算清缴的情形包括：</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(一)从两处以上取得综合所得，且综合所得年收入额减除专项扣除的余额超过6万元；</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(二)取得劳务报酬所得、稿酬所得、特许权使用费所得中一项或者多项所得，且综合所得年收入额减除专项扣除的余额超过6万元；</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(三)纳税年度内预缴税额低于应纳税额；</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(四)纳税人申请退税。</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纳税人申请退税，应当提供其在中国境内开设的银行账户，并在汇算清缴地就地办理税款退库。</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hint="eastAsia"/>
          <w:sz w:val="24"/>
          <w:szCs w:val="24"/>
        </w:rPr>
        <w:t>汇算清缴的具体办法由国务院税务主管部门制定。</w:t>
      </w:r>
    </w:p>
    <w:p w:rsidR="00717DEB" w:rsidRPr="002621A2" w:rsidRDefault="008B33FE">
      <w:pPr>
        <w:pStyle w:val="a3"/>
        <w:ind w:firstLineChars="200" w:firstLine="480"/>
        <w:rPr>
          <w:rFonts w:ascii="Kaiti SC" w:eastAsia="Kaiti SC" w:hAnsi="Kaiti SC" w:cs="Times New Roman"/>
          <w:sz w:val="24"/>
          <w:szCs w:val="24"/>
        </w:rPr>
      </w:pPr>
      <w:r w:rsidRPr="002621A2">
        <w:rPr>
          <w:rFonts w:ascii="Kaiti SC" w:eastAsia="Kaiti SC" w:hAnsi="Kaiti SC" w:cs="Times New Roman"/>
          <w:sz w:val="24"/>
          <w:szCs w:val="24"/>
        </w:rPr>
        <w:t>第二十六条　个人所得税法第十条第二款所称全员全额扣缴申报，是指扣缴</w:t>
      </w:r>
      <w:r w:rsidRPr="002621A2">
        <w:rPr>
          <w:rFonts w:ascii="Kaiti SC" w:eastAsia="Kaiti SC" w:hAnsi="Kaiti SC" w:cs="Times New Roman"/>
          <w:sz w:val="24"/>
          <w:szCs w:val="24"/>
        </w:rPr>
        <w:lastRenderedPageBreak/>
        <w:t>义务人在代扣税款的次月十五日内，向主管税务机关报送其支付所得的所有个人的有关信息、支付所得数额、扣除事项和数额、扣缴税款的具体数额和总额以及其他相关涉税信息资料。</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第二十七条　纳税人办理纳税申报的地点以及其他有关事项的具体办法，由国务院税务主管部门制定。</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第二十八条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hint="eastAsia"/>
          <w:sz w:val="24"/>
          <w:szCs w:val="24"/>
        </w:rPr>
        <w:t>居民个人取得劳务报酬所得、稿酬所得、特许权使用费所得，应当在汇算清缴时向税务机关提供有关信息，减除专项附加扣除。</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第二十九条　纳税人可以委托扣缴义务人或者其他单位和个人办理汇算清缴。</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第三十条　扣缴义务人应当按照纳税人提供的信息计算办理扣缴申报，不得擅自更改纳税人提供的信息。</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hint="eastAsia"/>
          <w:sz w:val="24"/>
          <w:szCs w:val="24"/>
        </w:rPr>
        <w:t>纳税人发现扣缴义务人提供或者扣缴申报的个人信息、所得、扣缴税款等与实际情况不符的，有权要求扣缴义务人修改。扣缴义务人拒绝修改的，纳税人应当报告税务机关，税务机关应当及时处理。</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hint="eastAsia"/>
          <w:sz w:val="24"/>
          <w:szCs w:val="24"/>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w:t>
      </w:r>
      <w:r w:rsidRPr="008266E6">
        <w:rPr>
          <w:rFonts w:ascii="Kaiti SC" w:eastAsia="Kaiti SC" w:hAnsi="Kaiti SC" w:cs="Times New Roman" w:hint="eastAsia"/>
          <w:sz w:val="24"/>
          <w:szCs w:val="24"/>
        </w:rPr>
        <w:lastRenderedPageBreak/>
        <w:t>合惩戒。</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第三十一条　纳税人申请退税时提供的汇算清缴信息有错误的，税务机关应当告知其更正；纳税人更正的，税务机关应当及时办理退税。</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hint="eastAsia"/>
          <w:sz w:val="24"/>
          <w:szCs w:val="24"/>
        </w:rPr>
        <w:t>扣缴义务人未将扣缴的税款解缴入库的，不影响纳税人按照规定申请退税，税务机关应当凭纳税人提供的有关资料办理退税。</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第三十二条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第三十三条　税务机关按照个人所得税法第十七条的规定付给扣缴义务人手续费，应当填开退还书；扣缴义务人凭退还书，按照国库管理有关规定办理退库手续。</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第三十四条　个人所得税纳税申报表、扣缴个人所得税报告表和个人所得税完税凭证式样，由国务院税务主管部门统一制定。</w:t>
      </w:r>
      <w:bookmarkStart w:id="0" w:name="_GoBack"/>
      <w:bookmarkEnd w:id="0"/>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第三十五条　军队人员个人所得税征收事宜，按照有关规定执行。</w:t>
      </w:r>
    </w:p>
    <w:p w:rsidR="00717DEB" w:rsidRPr="008266E6" w:rsidRDefault="008B33FE">
      <w:pPr>
        <w:pStyle w:val="a3"/>
        <w:ind w:firstLineChars="200" w:firstLine="480"/>
        <w:rPr>
          <w:rFonts w:ascii="Kaiti SC" w:eastAsia="Kaiti SC" w:hAnsi="Kaiti SC" w:cs="Times New Roman"/>
          <w:sz w:val="24"/>
          <w:szCs w:val="24"/>
        </w:rPr>
      </w:pPr>
      <w:r w:rsidRPr="008266E6">
        <w:rPr>
          <w:rFonts w:ascii="Kaiti SC" w:eastAsia="Kaiti SC" w:hAnsi="Kaiti SC" w:cs="Times New Roman"/>
          <w:sz w:val="24"/>
          <w:szCs w:val="24"/>
        </w:rPr>
        <w:t xml:space="preserve">第三十六条　</w:t>
      </w:r>
      <w:r w:rsidRPr="008266E6">
        <w:rPr>
          <w:rFonts w:ascii="Kaiti SC" w:eastAsia="Kaiti SC" w:hAnsi="Kaiti SC" w:cs="Times New Roman" w:hint="eastAsia"/>
          <w:sz w:val="24"/>
          <w:szCs w:val="24"/>
        </w:rPr>
        <w:t>本条例自2019年1月1日起施行。</w:t>
      </w:r>
    </w:p>
    <w:p w:rsidR="00717DEB" w:rsidRDefault="00717DEB"/>
    <w:sectPr w:rsidR="00717DEB" w:rsidSect="00717DE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615" w:rsidRDefault="00576615" w:rsidP="00717DEB">
      <w:r>
        <w:separator/>
      </w:r>
    </w:p>
  </w:endnote>
  <w:endnote w:type="continuationSeparator" w:id="0">
    <w:p w:rsidR="00576615" w:rsidRDefault="00576615" w:rsidP="0071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DEB" w:rsidRDefault="00576615">
    <w:pPr>
      <w:pStyle w:val="a4"/>
    </w:pPr>
    <w:r>
      <w:rPr>
        <w:noProof/>
      </w:rPr>
      <w:pict w14:anchorId="48E8D000">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717DEB" w:rsidRDefault="00717DEB">
                <w:pPr>
                  <w:pStyle w:val="a4"/>
                </w:pPr>
                <w:r>
                  <w:rPr>
                    <w:rFonts w:hint="eastAsia"/>
                    <w:sz w:val="24"/>
                    <w:szCs w:val="24"/>
                  </w:rPr>
                  <w:fldChar w:fldCharType="begin"/>
                </w:r>
                <w:r w:rsidR="008B33FE">
                  <w:rPr>
                    <w:rFonts w:hint="eastAsia"/>
                    <w:sz w:val="24"/>
                    <w:szCs w:val="24"/>
                  </w:rPr>
                  <w:instrText xml:space="preserve"> PAGE  \* MERGEFORMAT </w:instrText>
                </w:r>
                <w:r>
                  <w:rPr>
                    <w:rFonts w:hint="eastAsia"/>
                    <w:sz w:val="24"/>
                    <w:szCs w:val="24"/>
                  </w:rPr>
                  <w:fldChar w:fldCharType="separate"/>
                </w:r>
                <w:r w:rsidR="00C04B30">
                  <w:rPr>
                    <w:noProof/>
                    <w:sz w:val="24"/>
                    <w:szCs w:val="24"/>
                  </w:rPr>
                  <w:t>- 6 -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615" w:rsidRDefault="00576615" w:rsidP="00717DEB">
      <w:r>
        <w:separator/>
      </w:r>
    </w:p>
  </w:footnote>
  <w:footnote w:type="continuationSeparator" w:id="0">
    <w:p w:rsidR="00576615" w:rsidRDefault="00576615" w:rsidP="00717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7CD7AAE"/>
    <w:rsid w:val="00094D64"/>
    <w:rsid w:val="002621A2"/>
    <w:rsid w:val="004453BF"/>
    <w:rsid w:val="00576615"/>
    <w:rsid w:val="005C1EA6"/>
    <w:rsid w:val="005E20EE"/>
    <w:rsid w:val="00717DEB"/>
    <w:rsid w:val="008266E6"/>
    <w:rsid w:val="008B33FE"/>
    <w:rsid w:val="00BB2BF7"/>
    <w:rsid w:val="00C04B30"/>
    <w:rsid w:val="00D22A43"/>
    <w:rsid w:val="17CD7AAE"/>
    <w:rsid w:val="432A36AC"/>
    <w:rsid w:val="46BD4DFA"/>
    <w:rsid w:val="6EBA5E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775CA7"/>
  <w15:docId w15:val="{6A450E50-A0B3-9B4B-A1DF-8EC58F83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717D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17DEB"/>
    <w:rPr>
      <w:rFonts w:ascii="宋体" w:eastAsia="宋体" w:hAnsi="Courier New" w:cs="Courier New"/>
      <w:szCs w:val="21"/>
    </w:rPr>
  </w:style>
  <w:style w:type="paragraph" w:styleId="a4">
    <w:name w:val="footer"/>
    <w:basedOn w:val="a"/>
    <w:rsid w:val="00717DEB"/>
    <w:pPr>
      <w:tabs>
        <w:tab w:val="center" w:pos="4153"/>
        <w:tab w:val="right" w:pos="8306"/>
      </w:tabs>
      <w:snapToGrid w:val="0"/>
      <w:jc w:val="left"/>
    </w:pPr>
    <w:rPr>
      <w:sz w:val="18"/>
    </w:rPr>
  </w:style>
  <w:style w:type="paragraph" w:styleId="a5">
    <w:name w:val="header"/>
    <w:basedOn w:val="a"/>
    <w:qFormat/>
    <w:rsid w:val="00717D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2024-09-13T10:09:00Z</dcterms:created>
  <dcterms:modified xsi:type="dcterms:W3CDTF">2024-09-13T10:32:00Z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