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C3E" w:rsidRPr="000252FE" w:rsidRDefault="00B92206">
      <w:pPr>
        <w:pStyle w:val="a3"/>
        <w:jc w:val="center"/>
        <w:rPr>
          <w:rFonts w:ascii="Times New Roman" w:hAnsi="Times New Roman" w:cs="Times New Roman"/>
          <w:sz w:val="36"/>
          <w:szCs w:val="36"/>
        </w:rPr>
      </w:pPr>
      <w:r w:rsidRPr="000252FE">
        <w:rPr>
          <w:rFonts w:ascii="Times New Roman" w:hAnsi="Times New Roman" w:cs="Times New Roman"/>
          <w:sz w:val="36"/>
          <w:szCs w:val="36"/>
        </w:rPr>
        <w:t>中华人民共和国增值税暂行条例</w:t>
      </w:r>
    </w:p>
    <w:p w:rsidR="006F0C3E" w:rsidRPr="000252FE" w:rsidRDefault="00B92206" w:rsidP="000252FE">
      <w:pPr>
        <w:pStyle w:val="a3"/>
        <w:ind w:firstLineChars="200" w:firstLine="360"/>
        <w:jc w:val="center"/>
        <w:rPr>
          <w:rFonts w:ascii="楷体_GB2312" w:eastAsia="楷体_GB2312" w:hAnsi="楷体_GB2312" w:cs="楷体_GB2312"/>
          <w:sz w:val="18"/>
          <w:szCs w:val="18"/>
        </w:rPr>
      </w:pPr>
      <w:r w:rsidRPr="000252FE">
        <w:rPr>
          <w:rFonts w:ascii="楷体_GB2312" w:eastAsia="楷体_GB2312" w:hAnsi="楷体_GB2312" w:cs="楷体_GB2312" w:hint="eastAsia"/>
          <w:sz w:val="18"/>
          <w:szCs w:val="18"/>
        </w:rPr>
        <w:t>(1993年12月13日中华人民共和国国务院令第134号公布　2008年11月5日国务院第34次常务会议修订通过　根据2016年2月6日《国务院关于修改部分行政法规的决定》第一次修订　根据2017年11月19日《国务院关于废止〈中华人民共和国营业税暂行条例〉和修改〈中华人民共和国增值税暂行条例〉的决定》第二次修订)</w:t>
      </w:r>
    </w:p>
    <w:p w:rsidR="006F0C3E" w:rsidRDefault="006F0C3E">
      <w:pPr>
        <w:pStyle w:val="a3"/>
        <w:ind w:firstLineChars="200" w:firstLine="640"/>
        <w:rPr>
          <w:rFonts w:ascii="Times New Roman" w:hAnsi="Times New Roman" w:cs="Times New Roman"/>
          <w:sz w:val="32"/>
          <w:szCs w:val="32"/>
        </w:rPr>
      </w:pPr>
    </w:p>
    <w:p w:rsidR="006F0C3E" w:rsidRPr="000252FE" w:rsidRDefault="00B92206">
      <w:pPr>
        <w:pStyle w:val="a3"/>
        <w:ind w:firstLineChars="200" w:firstLine="480"/>
        <w:rPr>
          <w:rFonts w:ascii="Kaiti SC" w:eastAsia="Kaiti SC" w:hAnsi="Kaiti SC" w:cs="Times New Roman"/>
          <w:color w:val="FF0000"/>
          <w:sz w:val="24"/>
          <w:szCs w:val="24"/>
        </w:rPr>
      </w:pPr>
      <w:r w:rsidRPr="000252FE">
        <w:rPr>
          <w:rFonts w:ascii="Kaiti SC" w:eastAsia="Kaiti SC" w:hAnsi="Kaiti SC" w:cs="Times New Roman"/>
          <w:sz w:val="24"/>
          <w:szCs w:val="24"/>
        </w:rPr>
        <w:t xml:space="preserve">第一条　</w:t>
      </w:r>
      <w:r w:rsidRPr="000252FE">
        <w:rPr>
          <w:rFonts w:ascii="Kaiti SC" w:eastAsia="Kaiti SC" w:hAnsi="Kaiti SC" w:cs="Times New Roman" w:hint="eastAsia"/>
          <w:sz w:val="24"/>
          <w:szCs w:val="24"/>
        </w:rPr>
        <w:t>在中华人民共和国境内销售货物或者加工、修理修配劳务(以下简称劳务)，销售服务、无形资产、不动产以及进口货物的单位和个人，为增值税的纳税人，应当依照本条例缴纳增值税。</w:t>
      </w:r>
      <w:r w:rsidR="000252FE">
        <w:rPr>
          <w:rFonts w:ascii="Kaiti SC" w:eastAsia="Kaiti SC" w:hAnsi="Kaiti SC" w:cs="Times New Roman" w:hint="eastAsia"/>
          <w:color w:val="FF0000"/>
          <w:sz w:val="24"/>
          <w:szCs w:val="24"/>
        </w:rPr>
        <w:t>（纳税对象）</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第二条　</w:t>
      </w:r>
      <w:r w:rsidRPr="000252FE">
        <w:rPr>
          <w:rFonts w:ascii="Kaiti SC" w:eastAsia="Kaiti SC" w:hAnsi="Kaiti SC" w:cs="Times New Roman" w:hint="eastAsia"/>
          <w:sz w:val="24"/>
          <w:szCs w:val="24"/>
        </w:rPr>
        <w:t>增值税税率：</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(一)纳税人销售货物、劳务、有形动产租赁服务或者进口货物，除本条第二项、第四项、第五项另有规定外，</w:t>
      </w:r>
      <w:r w:rsidRPr="000252FE">
        <w:rPr>
          <w:rFonts w:ascii="Kaiti SC" w:eastAsia="Kaiti SC" w:hAnsi="Kaiti SC" w:cs="Times New Roman" w:hint="eastAsia"/>
          <w:color w:val="FF0000"/>
          <w:sz w:val="24"/>
          <w:szCs w:val="24"/>
        </w:rPr>
        <w:t>税率为17%。</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(二)纳税人销售交通运输、邮政、基础电信、建筑、不动产租赁服务，销售不动产，转让土地使用权，销售或者进口下列货物，</w:t>
      </w:r>
      <w:r w:rsidRPr="000252FE">
        <w:rPr>
          <w:rFonts w:ascii="Kaiti SC" w:eastAsia="Kaiti SC" w:hAnsi="Kaiti SC" w:cs="Times New Roman" w:hint="eastAsia"/>
          <w:color w:val="FF0000"/>
          <w:sz w:val="24"/>
          <w:szCs w:val="24"/>
        </w:rPr>
        <w:t>税率为11%：</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1．粮食等农产品、食用植物油、食用盐；</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2．自来水、暖气、冷气、热水、煤气、石油液化气、天然气、二甲醚、沼气、居民用煤炭制品；</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3．图书、报纸、杂志、音像制品、电子出版物；</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4．饲料、化肥、农药、农机、农膜；</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5．国务院规定的其他货物。</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(三)纳税人销售服务、无形资产，除本条第一项、第二项、第五项另有规定外，</w:t>
      </w:r>
      <w:r w:rsidRPr="000252FE">
        <w:rPr>
          <w:rFonts w:ascii="Kaiti SC" w:eastAsia="Kaiti SC" w:hAnsi="Kaiti SC" w:cs="Times New Roman" w:hint="eastAsia"/>
          <w:color w:val="FF0000"/>
          <w:sz w:val="24"/>
          <w:szCs w:val="24"/>
        </w:rPr>
        <w:t>税率为6%。</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(四)纳税人出口货物，税率为零；但是，国务院另有规定的除外。</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(五)境内单位和个人跨境销售国务院规定范围内的服务、无形资产，税率为</w:t>
      </w:r>
      <w:r w:rsidRPr="000252FE">
        <w:rPr>
          <w:rFonts w:ascii="Kaiti SC" w:eastAsia="Kaiti SC" w:hAnsi="Kaiti SC" w:cs="Times New Roman" w:hint="eastAsia"/>
          <w:sz w:val="24"/>
          <w:szCs w:val="24"/>
        </w:rPr>
        <w:lastRenderedPageBreak/>
        <w:t>零。</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税率的调整，由国务院决定。</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第三条　</w:t>
      </w:r>
      <w:r w:rsidRPr="000252FE">
        <w:rPr>
          <w:rFonts w:ascii="Kaiti SC" w:eastAsia="Kaiti SC" w:hAnsi="Kaiti SC" w:cs="Times New Roman" w:hint="eastAsia"/>
          <w:sz w:val="24"/>
          <w:szCs w:val="24"/>
        </w:rPr>
        <w:t>纳税人兼营不同税率的项目，应当分别核算不同税率项目的销售额；未分别核算销售额的，从高适用税率。</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第四条　</w:t>
      </w:r>
      <w:r w:rsidRPr="000252FE">
        <w:rPr>
          <w:rFonts w:ascii="Kaiti SC" w:eastAsia="Kaiti SC" w:hAnsi="Kaiti SC" w:cs="Times New Roman" w:hint="eastAsia"/>
          <w:sz w:val="24"/>
          <w:szCs w:val="24"/>
        </w:rPr>
        <w:t>除本条例第十一条规定外，纳税人销售货物、劳务、服务、无形资产、不动产(以下统称应税销售行为)，应纳税额为当期销项税额抵扣当期进项税额后的余额。应纳税额计算公式：</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应纳税额＝当期销项税额－当期进项税额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当期销项税额小于当期进项税额不足抵扣时，其不足部分可以结转下期继续抵扣。</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第五条　</w:t>
      </w:r>
      <w:r w:rsidRPr="000252FE">
        <w:rPr>
          <w:rFonts w:ascii="Kaiti SC" w:eastAsia="Kaiti SC" w:hAnsi="Kaiti SC" w:cs="Times New Roman" w:hint="eastAsia"/>
          <w:sz w:val="24"/>
          <w:szCs w:val="24"/>
        </w:rPr>
        <w:t>纳税人发生应税销售行为，按照销售额和本条例第二条规定的税率计算收取的增值税额，为销项税额。销项税额计算公式：</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销项税额＝销售额×税率</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第六条　</w:t>
      </w:r>
      <w:r w:rsidRPr="000252FE">
        <w:rPr>
          <w:rFonts w:ascii="Kaiti SC" w:eastAsia="Kaiti SC" w:hAnsi="Kaiti SC" w:cs="Times New Roman" w:hint="eastAsia"/>
          <w:sz w:val="24"/>
          <w:szCs w:val="24"/>
        </w:rPr>
        <w:t>销售额为纳税人发生应税销售行为收取的全部价款和价外费用，但是不包括收取的销项税额。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销售额以人民币计算。纳税人以人民币以外的货币结算销售额的，应当折合成人民币计算。</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第七条　</w:t>
      </w:r>
      <w:r w:rsidRPr="000252FE">
        <w:rPr>
          <w:rFonts w:ascii="Kaiti SC" w:eastAsia="Kaiti SC" w:hAnsi="Kaiti SC" w:cs="Times New Roman" w:hint="eastAsia"/>
          <w:sz w:val="24"/>
          <w:szCs w:val="24"/>
        </w:rPr>
        <w:t>纳税人发生应税销售行为的价格明显偏低并无正当理由的，由主管税务机关核定其销售额。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第八条　</w:t>
      </w:r>
      <w:r w:rsidRPr="000252FE">
        <w:rPr>
          <w:rFonts w:ascii="Kaiti SC" w:eastAsia="Kaiti SC" w:hAnsi="Kaiti SC" w:cs="Times New Roman" w:hint="eastAsia"/>
          <w:sz w:val="24"/>
          <w:szCs w:val="24"/>
        </w:rPr>
        <w:t>纳税人购进货物、劳务、服务、无形资产、不动产支付或者负担的增值税额，为进项税额。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下列进项税额准予从销项税额中抵扣：</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lastRenderedPageBreak/>
        <w:t>(一)从销售方取得的增值税专用发票上注明的增值税额。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(二)从海关取得的海关进口增值税专用缴款书上注明的增值税额。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(三)购进农产品，除取得增值税专用发票或者海关进口增值税专用缴款书外，按照农产品收购发票或者销售发票上注明的农产品买价和11%的扣除率计算的进项税额，国务院另有规定的除外。进项税额计算公式：</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进项税额＝买价×扣除率</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(四)自境外单位或者个人购进劳务、服务、无形资产或者境内的不动产，从税务机关或者扣缴义务人取得的代扣代缴税款的完税凭证上注明的增值税额。</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hint="eastAsia"/>
          <w:sz w:val="24"/>
          <w:szCs w:val="24"/>
        </w:rPr>
        <w:t>准予抵扣的项目和扣除率的调整，由国务院决定。</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第九条　</w:t>
      </w:r>
      <w:r w:rsidRPr="000252FE">
        <w:rPr>
          <w:rFonts w:ascii="Kaiti SC" w:eastAsia="Kaiti SC" w:hAnsi="Kaiti SC" w:cs="Times New Roman" w:hint="eastAsia"/>
          <w:sz w:val="24"/>
          <w:szCs w:val="24"/>
        </w:rPr>
        <w:t>纳税人购进货物、劳务、服务、无形资产、不动产，取得的增值税扣税凭证不符合法律、行政法规或者国务院税务主管部门有关规定的，其进项税额不得从销项税额中抵扣。</w:t>
      </w:r>
    </w:p>
    <w:p w:rsidR="006F0C3E" w:rsidRPr="000252FE" w:rsidRDefault="00B92206">
      <w:pPr>
        <w:pStyle w:val="a3"/>
        <w:ind w:firstLineChars="200" w:firstLine="480"/>
        <w:rPr>
          <w:rFonts w:ascii="Kaiti SC" w:eastAsia="Kaiti SC" w:hAnsi="Kaiti SC" w:cs="Times New Roman"/>
          <w:sz w:val="24"/>
          <w:szCs w:val="24"/>
        </w:rPr>
      </w:pPr>
      <w:r w:rsidRPr="000252FE">
        <w:rPr>
          <w:rFonts w:ascii="Kaiti SC" w:eastAsia="Kaiti SC" w:hAnsi="Kaiti SC" w:cs="Times New Roman"/>
          <w:sz w:val="24"/>
          <w:szCs w:val="24"/>
        </w:rPr>
        <w:t xml:space="preserve">第十条　</w:t>
      </w:r>
      <w:r w:rsidRPr="000252FE">
        <w:rPr>
          <w:rFonts w:ascii="Kaiti SC" w:eastAsia="Kaiti SC" w:hAnsi="Kaiti SC" w:cs="Times New Roman" w:hint="eastAsia"/>
          <w:sz w:val="24"/>
          <w:szCs w:val="24"/>
        </w:rPr>
        <w:t>下列项目的进项税额不得从销项税额中抵扣：</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(一)用于简易计税方法计税项目、免征增值税项目、集体福利或者个人消费的购进货物、劳务、服务、无形资产和不动产；</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(二)非正常损失的购进货物，以及相关的劳务和交通运输服务；</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(三)非正常损失的在产品、产成品所耗用的购进货物(不包括固定资产)、劳务和交通运输服务；</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(四)国务院规定的其他项目。</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第十一条　</w:t>
      </w:r>
      <w:r w:rsidRPr="00FF6864">
        <w:rPr>
          <w:rFonts w:ascii="Kaiti SC" w:eastAsia="Kaiti SC" w:hAnsi="Kaiti SC" w:cs="Times New Roman" w:hint="eastAsia"/>
          <w:sz w:val="24"/>
          <w:szCs w:val="24"/>
        </w:rPr>
        <w:t>小规模纳税人发生应税销售行为，实行按照销售额和征收率计算应纳税额的简易办法，并不得抵扣进项税额。应纳税额计算公式：</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应纳税额＝销售额×征收率</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lastRenderedPageBreak/>
        <w:t>小规模纳税人的标准由国务院财政、税务主管部门规定。</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第十二条　</w:t>
      </w:r>
      <w:r w:rsidRPr="00FF6864">
        <w:rPr>
          <w:rFonts w:ascii="Kaiti SC" w:eastAsia="Kaiti SC" w:hAnsi="Kaiti SC" w:cs="Times New Roman" w:hint="eastAsia"/>
          <w:sz w:val="24"/>
          <w:szCs w:val="24"/>
        </w:rPr>
        <w:t>小规模纳税人增值税</w:t>
      </w:r>
      <w:r w:rsidRPr="00FF6864">
        <w:rPr>
          <w:rFonts w:ascii="Kaiti SC" w:eastAsia="Kaiti SC" w:hAnsi="Kaiti SC" w:cs="Times New Roman" w:hint="eastAsia"/>
          <w:color w:val="FF0000"/>
          <w:sz w:val="24"/>
          <w:szCs w:val="24"/>
        </w:rPr>
        <w:t>征收率为3%，</w:t>
      </w:r>
      <w:r w:rsidRPr="00FF6864">
        <w:rPr>
          <w:rFonts w:ascii="Kaiti SC" w:eastAsia="Kaiti SC" w:hAnsi="Kaiti SC" w:cs="Times New Roman" w:hint="eastAsia"/>
          <w:sz w:val="24"/>
          <w:szCs w:val="24"/>
        </w:rPr>
        <w:t>国务院另有规定的除外。</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第十三条　</w:t>
      </w:r>
      <w:r w:rsidRPr="00FF6864">
        <w:rPr>
          <w:rFonts w:ascii="Kaiti SC" w:eastAsia="Kaiti SC" w:hAnsi="Kaiti SC" w:cs="Times New Roman" w:hint="eastAsia"/>
          <w:sz w:val="24"/>
          <w:szCs w:val="24"/>
        </w:rPr>
        <w:t>小规模纳税人以外的纳税人应当向主管税务机关办理登记。具体登记办法由国务院税务主管部门制定。</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小规模纳税人会计核算健全，能够提供准确税务资料的，可以向主管税务机关办理登记，不作为小规模纳税人，依照本条例有关规定计算应纳税额。</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第十四条　</w:t>
      </w:r>
      <w:r w:rsidRPr="00FF6864">
        <w:rPr>
          <w:rFonts w:ascii="Kaiti SC" w:eastAsia="Kaiti SC" w:hAnsi="Kaiti SC" w:cs="Times New Roman" w:hint="eastAsia"/>
          <w:sz w:val="24"/>
          <w:szCs w:val="24"/>
        </w:rPr>
        <w:t>纳税人进口货物，按照组成计税价格和本条例第二条规定的税率计算应纳税额。组成计税价格和应纳税额计算公式：</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组成计税价格＝关税完税价格＋关税＋消费税</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应纳税额＝组成计税价格×税率</w:t>
      </w:r>
    </w:p>
    <w:p w:rsidR="006F0C3E" w:rsidRPr="00FF6864" w:rsidRDefault="00B92206">
      <w:pPr>
        <w:pStyle w:val="a3"/>
        <w:ind w:firstLineChars="200" w:firstLine="480"/>
        <w:rPr>
          <w:rFonts w:ascii="Kaiti SC" w:eastAsia="Kaiti SC" w:hAnsi="Kaiti SC" w:cs="Times New Roman"/>
          <w:color w:val="FF0000"/>
          <w:sz w:val="24"/>
          <w:szCs w:val="24"/>
        </w:rPr>
      </w:pPr>
      <w:r w:rsidRPr="00FF6864">
        <w:rPr>
          <w:rFonts w:ascii="Kaiti SC" w:eastAsia="Kaiti SC" w:hAnsi="Kaiti SC" w:cs="Times New Roman"/>
          <w:sz w:val="24"/>
          <w:szCs w:val="24"/>
        </w:rPr>
        <w:t xml:space="preserve">第十五条　</w:t>
      </w:r>
      <w:r w:rsidRPr="00FF6864">
        <w:rPr>
          <w:rFonts w:ascii="Kaiti SC" w:eastAsia="Kaiti SC" w:hAnsi="Kaiti SC" w:cs="Times New Roman" w:hint="eastAsia"/>
          <w:sz w:val="24"/>
          <w:szCs w:val="24"/>
        </w:rPr>
        <w:t>下列项目免征增值税：</w:t>
      </w:r>
      <w:r w:rsidR="00FF6864">
        <w:rPr>
          <w:rFonts w:ascii="Kaiti SC" w:eastAsia="Kaiti SC" w:hAnsi="Kaiti SC" w:cs="Times New Roman" w:hint="eastAsia"/>
          <w:color w:val="FF0000"/>
          <w:sz w:val="24"/>
          <w:szCs w:val="24"/>
        </w:rPr>
        <w:t>（免征范围）</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(一)农业生产者销售的自产农产品；</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(二)避孕药品和用具；</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(三)古旧图书；</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(四)直接用于科学研究、科学试验和教学的进口仪器、设备；</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(五)外国政府、国际组织无偿援助的进口物资和设备；</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(六)由残疾人的组织直接进口供残疾人专用的物品；</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(七)销售的自己使用过的物品。</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除前款规定外，增值税的免税、减税项目由国务院规定。任何地区、部门均不得规定免税、减税项目。</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第十六条　</w:t>
      </w:r>
      <w:r w:rsidRPr="00FF6864">
        <w:rPr>
          <w:rFonts w:ascii="Kaiti SC" w:eastAsia="Kaiti SC" w:hAnsi="Kaiti SC" w:cs="Times New Roman" w:hint="eastAsia"/>
          <w:sz w:val="24"/>
          <w:szCs w:val="24"/>
        </w:rPr>
        <w:t>纳税人兼营免税、减税项目的，应当分别核算免税、减税项目的销售额；未分别核算销售额的，不得免税、减税。</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lastRenderedPageBreak/>
        <w:t xml:space="preserve">第十七条　</w:t>
      </w:r>
      <w:r w:rsidRPr="00FF6864">
        <w:rPr>
          <w:rFonts w:ascii="Kaiti SC" w:eastAsia="Kaiti SC" w:hAnsi="Kaiti SC" w:cs="Times New Roman" w:hint="eastAsia"/>
          <w:sz w:val="24"/>
          <w:szCs w:val="24"/>
        </w:rPr>
        <w:t>纳税人销售额未达到国务院财政、税务主管部门规定的增值税起征点的，免征增值税；达到起征点的，依照本条例规定全额计算缴纳增值税。</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第十八条　</w:t>
      </w:r>
      <w:r w:rsidRPr="00FF6864">
        <w:rPr>
          <w:rFonts w:ascii="Kaiti SC" w:eastAsia="Kaiti SC" w:hAnsi="Kaiti SC" w:cs="Times New Roman" w:hint="eastAsia"/>
          <w:sz w:val="24"/>
          <w:szCs w:val="24"/>
        </w:rPr>
        <w:t>中华人民共和国境外的单位或者个人在境内销售劳务，在境内未设有经营机构的，以其境内代理人为扣缴义务人；在境内没有代理人的，以购买方为扣缴义务人。</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第十九条　</w:t>
      </w:r>
      <w:r w:rsidRPr="00FF6864">
        <w:rPr>
          <w:rFonts w:ascii="Kaiti SC" w:eastAsia="Kaiti SC" w:hAnsi="Kaiti SC" w:cs="Times New Roman" w:hint="eastAsia"/>
          <w:sz w:val="24"/>
          <w:szCs w:val="24"/>
        </w:rPr>
        <w:t>增值税纳税义务发生时间：</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(一)发生应税销售行为，为收讫销售款项或者取得索取销售款项凭据的当天；先开具发票的，为开具发票的当天。</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(二)进口货物，为报关进口的当天。</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增值税扣缴义务发生时间为纳税人增值税纳税义务发生的当天。</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第二十条　</w:t>
      </w:r>
      <w:r w:rsidRPr="00FF6864">
        <w:rPr>
          <w:rFonts w:ascii="Kaiti SC" w:eastAsia="Kaiti SC" w:hAnsi="Kaiti SC" w:cs="Times New Roman" w:hint="eastAsia"/>
          <w:sz w:val="24"/>
          <w:szCs w:val="24"/>
        </w:rPr>
        <w:t>增值税由税务机关征收，进口货物的增值税由海关代征。</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个人携带或者邮寄进境自用物品的增值税，连同关税一并计征。具体办法由国务院关税税则委员会会同有关部门制定。</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第二十一条　</w:t>
      </w:r>
      <w:r w:rsidRPr="00FF6864">
        <w:rPr>
          <w:rFonts w:ascii="Kaiti SC" w:eastAsia="Kaiti SC" w:hAnsi="Kaiti SC" w:cs="Times New Roman" w:hint="eastAsia"/>
          <w:sz w:val="24"/>
          <w:szCs w:val="24"/>
        </w:rPr>
        <w:t>纳税人发生应税销售行为，应当向索取增值税专用发票的购买方开具增值税专用发票，并在增值税专用发票上分别注明销售额和销项税额。</w:t>
      </w:r>
    </w:p>
    <w:p w:rsidR="006F0C3E" w:rsidRPr="00FF6864" w:rsidRDefault="00B92206">
      <w:pPr>
        <w:pStyle w:val="a3"/>
        <w:ind w:firstLineChars="200" w:firstLine="480"/>
        <w:rPr>
          <w:rFonts w:ascii="Kaiti SC" w:eastAsia="Kaiti SC" w:hAnsi="Kaiti SC" w:cs="Times New Roman" w:hint="eastAsia"/>
          <w:color w:val="FF0000"/>
          <w:sz w:val="24"/>
          <w:szCs w:val="24"/>
        </w:rPr>
      </w:pPr>
      <w:r w:rsidRPr="00FF6864">
        <w:rPr>
          <w:rFonts w:ascii="Kaiti SC" w:eastAsia="Kaiti SC" w:hAnsi="Kaiti SC" w:cs="Times New Roman" w:hint="eastAsia"/>
          <w:sz w:val="24"/>
          <w:szCs w:val="24"/>
        </w:rPr>
        <w:t>属于下列情形之一的，不得开具增值税专用发票：</w:t>
      </w:r>
      <w:r w:rsidR="00FF6864">
        <w:rPr>
          <w:rFonts w:ascii="Kaiti SC" w:eastAsia="Kaiti SC" w:hAnsi="Kaiti SC" w:cs="Times New Roman" w:hint="eastAsia"/>
          <w:color w:val="FF0000"/>
          <w:sz w:val="24"/>
          <w:szCs w:val="24"/>
        </w:rPr>
        <w:t>（不得开具专用发票）</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(一)应税销售行为的购买方为消费者个人的；</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(二)发生应税销售行为适用免税规定的。</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sz w:val="24"/>
          <w:szCs w:val="24"/>
        </w:rPr>
        <w:t xml:space="preserve">第二十二条　</w:t>
      </w:r>
      <w:r w:rsidRPr="00FF6864">
        <w:rPr>
          <w:rFonts w:ascii="Kaiti SC" w:eastAsia="Kaiti SC" w:hAnsi="Kaiti SC" w:cs="Times New Roman" w:hint="eastAsia"/>
          <w:sz w:val="24"/>
          <w:szCs w:val="24"/>
        </w:rPr>
        <w:t>增值税纳税地点：</w:t>
      </w:r>
    </w:p>
    <w:p w:rsidR="006F0C3E" w:rsidRPr="00FF6864" w:rsidRDefault="00B92206">
      <w:pPr>
        <w:pStyle w:val="a3"/>
        <w:ind w:firstLineChars="200" w:firstLine="480"/>
        <w:rPr>
          <w:rFonts w:ascii="Kaiti SC" w:eastAsia="Kaiti SC" w:hAnsi="Kaiti SC" w:cs="Times New Roman"/>
          <w:sz w:val="24"/>
          <w:szCs w:val="24"/>
        </w:rPr>
      </w:pPr>
      <w:r w:rsidRPr="00FF6864">
        <w:rPr>
          <w:rFonts w:ascii="Kaiti SC" w:eastAsia="Kaiti SC" w:hAnsi="Kaiti SC" w:cs="Times New Roman" w:hint="eastAsia"/>
          <w:sz w:val="24"/>
          <w:szCs w:val="24"/>
        </w:rPr>
        <w:t>(一)固定业户应当向其机构所在地的主管税务机关申报纳税。总机构和分支机构不在同一县(市)的，应当分别向各自所在地的主管税务机关申报纳税；经国务院财政、税务主管部门或者其授权的财政、税务机关批准，可以由总机构汇总</w:t>
      </w:r>
      <w:r w:rsidRPr="00FF6864">
        <w:rPr>
          <w:rFonts w:ascii="Kaiti SC" w:eastAsia="Kaiti SC" w:hAnsi="Kaiti SC" w:cs="Times New Roman" w:hint="eastAsia"/>
          <w:sz w:val="24"/>
          <w:szCs w:val="24"/>
        </w:rPr>
        <w:lastRenderedPageBreak/>
        <w:t>向总机构所在地的主管税务机关申报纳税。</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二)固定业户到外县(市)销售货物或者劳务，应当向其机构所在地的主管税务机关报告外出经营事项，并向其机构所在地的主管税务机关申报纳税；未报告的，应当向销售地或者劳务发生地的主管税务机关申报纳税；未向销售地或者劳务发生地的主管税务机关申报纳税的，由其机构所在地的主管税务机关补征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(三)非固定业户销售货物或者劳务，应当向销售地或者劳务发生地的主管税务机关申报纳税；未向销售地或者劳务发生地的主管税务机关申报纳税的，由其机构所在地或者居住地的主管税务机关补征税款。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(四)进口货物，应当向报关地海关申报纳税。</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扣缴义务人应当向其机构所在地或者居住地的主管税务机关申报缴纳其扣缴的税款。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第二十三条　</w:t>
      </w:r>
      <w:r w:rsidRPr="007042F6">
        <w:rPr>
          <w:rFonts w:ascii="Kaiti SC" w:eastAsia="Kaiti SC" w:hAnsi="Kaiti SC" w:cs="Times New Roman" w:hint="eastAsia"/>
          <w:sz w:val="24"/>
          <w:szCs w:val="24"/>
        </w:rPr>
        <w:t>增值税的纳税期限分别为1日、3日、5日、10日、15日、1个月或者1个季度。纳税人的具体纳税期限，由主管税务机关根据纳税人应纳税额的大小分别核定；不能按照固定期限纳税的，可以按次纳税。</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纳税人以1个月或者1个季度为1个纳税期的，自期满之日起15日内申报纳税；以1日、3日、5日、10日或者15日为1个纳税期的，自期满之日起5日内预缴税款，于次月1日起15日内申报纳税并结清上月应纳税款。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扣缴义务人解缴税款的期限，依照前两款规定执行。</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第二十四条　</w:t>
      </w:r>
      <w:r w:rsidRPr="007042F6">
        <w:rPr>
          <w:rFonts w:ascii="Kaiti SC" w:eastAsia="Kaiti SC" w:hAnsi="Kaiti SC" w:cs="Times New Roman" w:hint="eastAsia"/>
          <w:sz w:val="24"/>
          <w:szCs w:val="24"/>
        </w:rPr>
        <w:t>纳税人进口货物，应当自海关填发海关进口增值税专用缴款书之日起15日内缴纳税款。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第二十五条　</w:t>
      </w:r>
      <w:r w:rsidRPr="007042F6">
        <w:rPr>
          <w:rFonts w:ascii="Kaiti SC" w:eastAsia="Kaiti SC" w:hAnsi="Kaiti SC" w:cs="Times New Roman" w:hint="eastAsia"/>
          <w:sz w:val="24"/>
          <w:szCs w:val="24"/>
        </w:rPr>
        <w:t>纳税人出口货物适用退(免)税规定的，应当向海关办理出口手续，凭出口报关单等有关凭证，在规定的出口退(免)税申报期内按月向主管税务</w:t>
      </w:r>
      <w:r w:rsidRPr="007042F6">
        <w:rPr>
          <w:rFonts w:ascii="Kaiti SC" w:eastAsia="Kaiti SC" w:hAnsi="Kaiti SC" w:cs="Times New Roman" w:hint="eastAsia"/>
          <w:sz w:val="24"/>
          <w:szCs w:val="24"/>
        </w:rPr>
        <w:lastRenderedPageBreak/>
        <w:t>机关申报办理该项出口货物的退(免)税；境内单位和个人跨境销售服务和无形资产适用退(免)税规定的，应当按期向主管税务机关申报办理退(免)税。具体办法由国务院财政、税务主管部门制定。</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hint="eastAsia"/>
          <w:sz w:val="24"/>
          <w:szCs w:val="24"/>
        </w:rPr>
        <w:t>出口货物办理退税后发生退货或者退关的，纳税人应当依法补缴已退的税款。</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第二十六条　</w:t>
      </w:r>
      <w:r w:rsidRPr="007042F6">
        <w:rPr>
          <w:rFonts w:ascii="Kaiti SC" w:eastAsia="Kaiti SC" w:hAnsi="Kaiti SC" w:cs="Times New Roman" w:hint="eastAsia"/>
          <w:sz w:val="24"/>
          <w:szCs w:val="24"/>
        </w:rPr>
        <w:t>增值税的征收管理，依照《中华人民共和国税收征收管理法》及本条例有关规定执行。</w:t>
      </w:r>
      <w:bookmarkStart w:id="0" w:name="_GoBack"/>
      <w:bookmarkEnd w:id="0"/>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第二十七条　</w:t>
      </w:r>
      <w:r w:rsidRPr="007042F6">
        <w:rPr>
          <w:rFonts w:ascii="Kaiti SC" w:eastAsia="Kaiti SC" w:hAnsi="Kaiti SC" w:cs="Times New Roman" w:hint="eastAsia"/>
          <w:sz w:val="24"/>
          <w:szCs w:val="24"/>
        </w:rPr>
        <w:t>纳税人缴纳增值税的有关事项，国务院或者国务院财政、税务主管部门经国务院同意另有规定的，依照其规定。</w:t>
      </w:r>
    </w:p>
    <w:p w:rsidR="006F0C3E" w:rsidRPr="007042F6" w:rsidRDefault="00B92206">
      <w:pPr>
        <w:pStyle w:val="a3"/>
        <w:ind w:firstLineChars="200" w:firstLine="480"/>
        <w:rPr>
          <w:rFonts w:ascii="Kaiti SC" w:eastAsia="Kaiti SC" w:hAnsi="Kaiti SC" w:cs="Times New Roman"/>
          <w:sz w:val="24"/>
          <w:szCs w:val="24"/>
        </w:rPr>
      </w:pPr>
      <w:r w:rsidRPr="007042F6">
        <w:rPr>
          <w:rFonts w:ascii="Kaiti SC" w:eastAsia="Kaiti SC" w:hAnsi="Kaiti SC" w:cs="Times New Roman"/>
          <w:sz w:val="24"/>
          <w:szCs w:val="24"/>
        </w:rPr>
        <w:t xml:space="preserve">第二十八条　</w:t>
      </w:r>
      <w:r w:rsidRPr="007042F6">
        <w:rPr>
          <w:rFonts w:ascii="Kaiti SC" w:eastAsia="Kaiti SC" w:hAnsi="Kaiti SC" w:cs="Times New Roman" w:hint="eastAsia"/>
          <w:sz w:val="24"/>
          <w:szCs w:val="24"/>
        </w:rPr>
        <w:t>本条例自2009年1月1日起施行。</w:t>
      </w:r>
    </w:p>
    <w:p w:rsidR="006F0C3E" w:rsidRPr="007042F6" w:rsidRDefault="006F0C3E">
      <w:pPr>
        <w:rPr>
          <w:rFonts w:ascii="Kaiti SC" w:eastAsia="Kaiti SC" w:hAnsi="Kaiti SC"/>
          <w:sz w:val="24"/>
          <w:szCs w:val="24"/>
        </w:rPr>
      </w:pPr>
    </w:p>
    <w:sectPr w:rsidR="006F0C3E" w:rsidRPr="007042F6" w:rsidSect="006F0C3E">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7531" w:rsidRDefault="00D37531" w:rsidP="006F0C3E">
      <w:r>
        <w:separator/>
      </w:r>
    </w:p>
  </w:endnote>
  <w:endnote w:type="continuationSeparator" w:id="0">
    <w:p w:rsidR="00D37531" w:rsidRDefault="00D37531" w:rsidP="006F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C3E" w:rsidRDefault="00D37531">
    <w:pPr>
      <w:pStyle w:val="a4"/>
    </w:pPr>
    <w:r>
      <w:rPr>
        <w:noProof/>
      </w:rPr>
      <w:pict w14:anchorId="5B655D39">
        <v:shapetype id="_x0000_t202" coordsize="21600,21600" o:spt="202" path="m,l,21600r21600,l21600,xe">
          <v:stroke joinstyle="miter"/>
          <v:path gradientshapeok="t" o:connecttype="rect"/>
        </v:shapetype>
        <v:shape id="文本框 1" o:spid="_x0000_s2049"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fUl3AIAAPoFAAAOAAAAZHJzL2Uyb0RvYy54bWysVE9v0zAUvyPxHSzfsyRd1qXV0qlrFoRU&#13;&#10;sUkDcXYdp4nm2JbtNR1oV/gGnLhw53Ptc/DsNm03EEJAD+5z3nu/9+f3/M7O1y1HK6ZNI0WG46MI&#13;&#10;IyaoLBuxzPC7t0WQYmQsESXhUrAM3zODzycvX5x1aswGspa8ZBoBiDDjTmW4tlaNw9DQmrXEHEnF&#13;&#10;BCgrqVti4aqXYalJB+gtDwdRNAw7qUulJWXGwNd8o8QTj19VjNqrqjLMIp5hyM36U/tz4c5wckbG&#13;&#10;S01U3dBtGuQvsmhJIyDoDionlqA73fwE1TZUSyMre0RlG8qqaijzNUA1cfSsmpuaKOZrgeYYtWuT&#13;&#10;+X+w9M3qWqOmBO4wEqQFih6/fH78+v3x2ycUu/Z0yozB6kaBnV1fyLUzdaUaNZf01iAhZzURSzbV&#13;&#10;WnY1IyWk5z3DA9cNjgEQ57qudOv+oX4EeEDM/Y4MtraIuiDpIE0jUFHQ9RfIJ9y7K23sKyZb5IQM&#13;&#10;a2DbZ0ZWc2M3pr2JiyZk0XDuGecCdRkeHp9E3mGnAXAunC1kARhbacPkx1E0ukwv0yRIBsPLIIny&#13;&#10;PJgWsyQYFvHpSX6cz2Z5/ODw4mRcN2XJhIvXT1Wc/Blr2/nezMNurozkTengXEpGLxczrtGKwFQX&#13;&#10;/ueYguQPzMKnaXg1VPWspHiQRBeDUVAM09MgKZKTYHQapUEUjy5GwygZJXnxtKR5I9i/l/Sk+wdJ&#13;&#10;k7EjbFfbghN6+9vSXDr70qADPXF++Dbz5sbQrhdraJETF7K8h1nWEkYGxssoWjQQdE6MvSYaXj98&#13;&#10;hI1mr+CouIQ5kVsJo1rqD7/67uyBXtBi1ME2ybCAdYcRfy3gNQCg7QXdC4teEHftTAKR8AAhFy+C&#13;&#10;g7a8Fyst2/ew5qYuBqiIoBApw7YXZ3az0WBNUjadeiNYL4rYubhR1EH7sVHTOwtvwD+NfSegfe4C&#13;&#10;C8Y3crsM3QY7vHur/cqe/AAAAP//AwBQSwMEFAAGAAgAAAAhAAAX5fTZAAAACgEAAA8AAABkcnMv&#13;&#10;ZG93bnJldi54bWxMT0FOwzAQvCPxB2uRuFGHglCUxqmgEI5INBw4uvE2SbHXke2m4fcsCAkuox2N&#13;&#10;ZnamXM/OiglDHDwpuF5kIJBabwbqFLw19VUOIiZNRltPqOATI6yr87NSF8af6BWnbeoEh1AstII+&#13;&#10;pbGQMrY9Oh0XfkRibe+D04lp6KQJ+sThzspllt1JpwfiD70ecdNj+7E9OgWbumnChDHYd3yubw4v&#13;&#10;D7f4NCt1eTE/rhjuVyASzunPAd8buD9UXGznj2SisAp4TfpB1pZ5znT3e8iqlP8nVF8AAAD//wMA&#13;&#10;UEsBAi0AFAAGAAgAAAAhALaDOJL+AAAA4QEAABMAAAAAAAAAAAAAAAAAAAAAAFtDb250ZW50X1R5&#13;&#10;cGVzXS54bWxQSwECLQAUAAYACAAAACEAOP0h/9YAAACUAQAACwAAAAAAAAAAAAAAAAAvAQAAX3Jl&#13;&#10;bHMvLnJlbHNQSwECLQAUAAYACAAAACEAaSn1JdwCAAD6BQAADgAAAAAAAAAAAAAAAAAuAgAAZHJz&#13;&#10;L2Uyb0RvYy54bWxQSwECLQAUAAYACAAAACEAABfl9NkAAAAKAQAADwAAAAAAAAAAAAAAAAA2BQAA&#13;&#10;ZHJzL2Rvd25yZXYueG1sUEsFBgAAAAAEAAQA8wAAADwGAAAAAA==&#13;&#10;" filled="f" stroked="f" strokeweight=".5pt">
          <v:textbox style="mso-fit-shape-to-text:t" inset="0,0,0,0">
            <w:txbxContent>
              <w:p w:rsidR="006F0C3E" w:rsidRDefault="006F0C3E">
                <w:pPr>
                  <w:pStyle w:val="a4"/>
                </w:pPr>
                <w:r>
                  <w:rPr>
                    <w:rFonts w:hint="eastAsia"/>
                    <w:sz w:val="24"/>
                    <w:szCs w:val="24"/>
                  </w:rPr>
                  <w:fldChar w:fldCharType="begin"/>
                </w:r>
                <w:r w:rsidR="00B92206">
                  <w:rPr>
                    <w:rFonts w:hint="eastAsia"/>
                    <w:sz w:val="24"/>
                    <w:szCs w:val="24"/>
                  </w:rPr>
                  <w:instrText xml:space="preserve"> PAGE  \* MERGEFORMAT </w:instrText>
                </w:r>
                <w:r>
                  <w:rPr>
                    <w:rFonts w:hint="eastAsia"/>
                    <w:sz w:val="24"/>
                    <w:szCs w:val="24"/>
                  </w:rPr>
                  <w:fldChar w:fldCharType="separate"/>
                </w:r>
                <w:r w:rsidR="00793C9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7531" w:rsidRDefault="00D37531" w:rsidP="006F0C3E">
      <w:r>
        <w:separator/>
      </w:r>
    </w:p>
  </w:footnote>
  <w:footnote w:type="continuationSeparator" w:id="0">
    <w:p w:rsidR="00D37531" w:rsidRDefault="00D37531" w:rsidP="006F0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1ADD075C"/>
    <w:rsid w:val="000252FE"/>
    <w:rsid w:val="00102354"/>
    <w:rsid w:val="00355DD3"/>
    <w:rsid w:val="006F0C3E"/>
    <w:rsid w:val="007042F6"/>
    <w:rsid w:val="00704971"/>
    <w:rsid w:val="00793C9A"/>
    <w:rsid w:val="007F07E5"/>
    <w:rsid w:val="00B92206"/>
    <w:rsid w:val="00CE47A3"/>
    <w:rsid w:val="00D37531"/>
    <w:rsid w:val="00FF6864"/>
    <w:rsid w:val="0AF2485C"/>
    <w:rsid w:val="11DA1072"/>
    <w:rsid w:val="11DF31B7"/>
    <w:rsid w:val="1ADD07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F8E4A2"/>
  <w15:docId w15:val="{2CCBE437-C28A-2346-9B23-43FDBB93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6F0C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6F0C3E"/>
    <w:rPr>
      <w:rFonts w:ascii="宋体" w:eastAsia="宋体" w:hAnsi="Courier New" w:cs="Courier New"/>
      <w:szCs w:val="21"/>
    </w:rPr>
  </w:style>
  <w:style w:type="paragraph" w:styleId="a4">
    <w:name w:val="footer"/>
    <w:basedOn w:val="a"/>
    <w:rsid w:val="006F0C3E"/>
    <w:pPr>
      <w:tabs>
        <w:tab w:val="center" w:pos="4153"/>
        <w:tab w:val="right" w:pos="8306"/>
      </w:tabs>
      <w:snapToGrid w:val="0"/>
      <w:jc w:val="left"/>
    </w:pPr>
    <w:rPr>
      <w:sz w:val="18"/>
    </w:rPr>
  </w:style>
  <w:style w:type="paragraph" w:styleId="a5">
    <w:name w:val="header"/>
    <w:basedOn w:val="a"/>
    <w:rsid w:val="006F0C3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3</cp:revision>
  <dcterms:created xsi:type="dcterms:W3CDTF">2024-09-14T03:06:00Z</dcterms:created>
  <dcterms:modified xsi:type="dcterms:W3CDTF">2024-09-14T03:48:00Z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