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286" w:rsidRPr="00272A3B" w:rsidRDefault="00677915" w:rsidP="0083029A">
      <w:pPr>
        <w:pStyle w:val="a3"/>
        <w:jc w:val="center"/>
        <w:rPr>
          <w:rFonts w:ascii="Times New Roman" w:hAnsi="Times New Roman" w:cs="Times New Roman"/>
          <w:sz w:val="36"/>
          <w:szCs w:val="36"/>
        </w:rPr>
      </w:pPr>
      <w:r w:rsidRPr="00272A3B">
        <w:rPr>
          <w:rFonts w:ascii="Times New Roman" w:hAnsi="Times New Roman" w:cs="Times New Roman"/>
          <w:sz w:val="36"/>
          <w:szCs w:val="36"/>
        </w:rPr>
        <w:t>中华人民共和国税收征收管理法实施细则</w:t>
      </w:r>
    </w:p>
    <w:p w:rsidR="006A2286" w:rsidRPr="00272A3B" w:rsidRDefault="00677915" w:rsidP="00272A3B">
      <w:pPr>
        <w:pStyle w:val="a3"/>
        <w:ind w:firstLineChars="200" w:firstLine="360"/>
        <w:jc w:val="center"/>
        <w:rPr>
          <w:rFonts w:ascii="楷体_GB2312" w:eastAsia="楷体_GB2312" w:hAnsi="楷体_GB2312" w:cs="楷体_GB2312"/>
          <w:sz w:val="18"/>
          <w:szCs w:val="18"/>
        </w:rPr>
      </w:pPr>
      <w:r w:rsidRPr="00272A3B">
        <w:rPr>
          <w:rFonts w:ascii="楷体_GB2312" w:eastAsia="楷体_GB2312" w:hAnsi="楷体_GB2312" w:cs="楷体_GB2312" w:hint="eastAsia"/>
          <w:sz w:val="18"/>
          <w:szCs w:val="18"/>
        </w:rPr>
        <w:t>(2002年9月7日中华人民共和国国务院令第362号公布　根据2012年11月9日《国务院关于修改和废止部分行政法规的决定》第一次修订　根据2013年7月18日《国务院关于废止和修改部分行政法规的决定》第二次修订　根据2016年2月6日《国务院关于修改部分行政法规的决定》第三次修订)</w:t>
      </w:r>
    </w:p>
    <w:p w:rsidR="006A2286" w:rsidRPr="00272A3B" w:rsidRDefault="00677915">
      <w:pPr>
        <w:pStyle w:val="2"/>
        <w:rPr>
          <w:rFonts w:ascii="方正黑体_GBK"/>
          <w:sz w:val="28"/>
          <w:szCs w:val="28"/>
        </w:rPr>
      </w:pPr>
      <w:r w:rsidRPr="00272A3B">
        <w:rPr>
          <w:rFonts w:ascii="方正黑体_GBK" w:hAnsi="Times New Roman" w:cs="Times New Roman" w:hint="eastAsia"/>
          <w:sz w:val="28"/>
          <w:szCs w:val="28"/>
        </w:rPr>
        <w:t>第一章　总则</w:t>
      </w:r>
    </w:p>
    <w:p w:rsidR="006A2286" w:rsidRPr="00272A3B" w:rsidRDefault="00677915">
      <w:pPr>
        <w:pStyle w:val="a3"/>
        <w:ind w:firstLineChars="200" w:firstLine="480"/>
        <w:rPr>
          <w:rFonts w:ascii="Kaiti SC" w:eastAsia="Kaiti SC" w:hAnsi="Kaiti SC" w:cs="Times New Roman"/>
          <w:color w:val="FF0000"/>
          <w:sz w:val="24"/>
          <w:szCs w:val="24"/>
        </w:rPr>
      </w:pPr>
      <w:r w:rsidRPr="00272A3B">
        <w:rPr>
          <w:rFonts w:ascii="Kaiti SC" w:eastAsia="Kaiti SC" w:hAnsi="Kaiti SC" w:cs="Times New Roman"/>
          <w:sz w:val="24"/>
          <w:szCs w:val="24"/>
        </w:rPr>
        <w:t>第一条　根据《中华人民共和国税收征收管理法》(以下简称税收征管法)的规定，制定本细则。</w:t>
      </w:r>
      <w:r w:rsidR="00272A3B">
        <w:rPr>
          <w:rFonts w:ascii="Kaiti SC" w:eastAsia="Kaiti SC" w:hAnsi="Kaiti SC" w:cs="Times New Roman" w:hint="eastAsia"/>
          <w:color w:val="FF0000"/>
          <w:sz w:val="24"/>
          <w:szCs w:val="24"/>
        </w:rPr>
        <w:t>（由粗到细）</w:t>
      </w:r>
    </w:p>
    <w:p w:rsidR="006A2286" w:rsidRPr="00272A3B" w:rsidRDefault="00677915">
      <w:pPr>
        <w:pStyle w:val="a3"/>
        <w:ind w:firstLineChars="200" w:firstLine="480"/>
        <w:rPr>
          <w:rFonts w:ascii="Kaiti SC" w:eastAsia="Kaiti SC" w:hAnsi="Kaiti SC" w:cs="Times New Roman"/>
          <w:sz w:val="24"/>
          <w:szCs w:val="24"/>
        </w:rPr>
      </w:pPr>
      <w:r w:rsidRPr="00272A3B">
        <w:rPr>
          <w:rFonts w:ascii="Kaiti SC" w:eastAsia="Kaiti SC" w:hAnsi="Kaiti SC" w:cs="Times New Roman"/>
          <w:sz w:val="24"/>
          <w:szCs w:val="24"/>
        </w:rPr>
        <w:t>第二条　凡依法由税务机关征收的各种税收的征收管理，均适用税收征管法及本细则；税收征管法及本细则没有规定的，依照其他有关税收法律、行政法规的规定执行。</w:t>
      </w:r>
    </w:p>
    <w:p w:rsidR="006A2286" w:rsidRPr="00272A3B" w:rsidRDefault="00677915">
      <w:pPr>
        <w:pStyle w:val="a3"/>
        <w:ind w:firstLineChars="200" w:firstLine="480"/>
        <w:rPr>
          <w:rFonts w:ascii="Kaiti SC" w:eastAsia="Kaiti SC" w:hAnsi="Kaiti SC" w:cs="Times New Roman"/>
          <w:sz w:val="24"/>
          <w:szCs w:val="24"/>
        </w:rPr>
      </w:pPr>
      <w:r w:rsidRPr="00272A3B">
        <w:rPr>
          <w:rFonts w:ascii="Kaiti SC" w:eastAsia="Kaiti SC" w:hAnsi="Kaiti SC" w:cs="Times New Roman"/>
          <w:sz w:val="24"/>
          <w:szCs w:val="24"/>
        </w:rPr>
        <w:t>第三条　任何部门、单位和个人作出的与税收法律、行政法规相抵触的决定一律无效，税务机关不得执行，并应当向上级税务机关报告。</w:t>
      </w:r>
    </w:p>
    <w:p w:rsidR="006A2286" w:rsidRPr="00272A3B" w:rsidRDefault="00677915">
      <w:pPr>
        <w:pStyle w:val="a3"/>
        <w:ind w:firstLineChars="200" w:firstLine="480"/>
        <w:rPr>
          <w:rFonts w:ascii="Kaiti SC" w:eastAsia="Kaiti SC" w:hAnsi="Kaiti SC" w:cs="Times New Roman"/>
          <w:sz w:val="24"/>
          <w:szCs w:val="24"/>
        </w:rPr>
      </w:pPr>
      <w:r w:rsidRPr="00272A3B">
        <w:rPr>
          <w:rFonts w:ascii="Kaiti SC" w:eastAsia="Kaiti SC" w:hAnsi="Kaiti SC" w:cs="Times New Roman"/>
          <w:sz w:val="24"/>
          <w:szCs w:val="24"/>
        </w:rPr>
        <w:t>纳税人应当依照税收法律、行政法规的规定履行纳税义务；其签订的合同、协议等与税收法律、行政法规相抵触的，一律无效。</w:t>
      </w:r>
    </w:p>
    <w:p w:rsidR="006A2286" w:rsidRPr="00272A3B" w:rsidRDefault="00677915">
      <w:pPr>
        <w:pStyle w:val="a3"/>
        <w:ind w:firstLineChars="200" w:firstLine="480"/>
        <w:rPr>
          <w:rFonts w:ascii="Kaiti SC" w:eastAsia="Kaiti SC" w:hAnsi="Kaiti SC" w:cs="Times New Roman"/>
          <w:sz w:val="24"/>
          <w:szCs w:val="24"/>
        </w:rPr>
      </w:pPr>
      <w:r w:rsidRPr="00272A3B">
        <w:rPr>
          <w:rFonts w:ascii="Kaiti SC" w:eastAsia="Kaiti SC" w:hAnsi="Kaiti SC" w:cs="Times New Roman"/>
          <w:sz w:val="24"/>
          <w:szCs w:val="24"/>
        </w:rPr>
        <w:t>第四条　国家税务总局负责制定全国税务系统信息化建设的总体规划、技术标准、技术方案与实施办法；各级税务机关应当按照国家税务总局的总体规划、技术标准、技术方案与实施办法，做好本地区税务系统信息化建设的具体工作。</w:t>
      </w:r>
    </w:p>
    <w:p w:rsidR="006A2286" w:rsidRPr="00272A3B" w:rsidRDefault="00677915">
      <w:pPr>
        <w:pStyle w:val="a3"/>
        <w:ind w:firstLineChars="200" w:firstLine="480"/>
        <w:rPr>
          <w:rFonts w:ascii="Kaiti SC" w:eastAsia="Kaiti SC" w:hAnsi="Kaiti SC" w:cs="Times New Roman"/>
          <w:sz w:val="24"/>
          <w:szCs w:val="24"/>
        </w:rPr>
      </w:pPr>
      <w:r w:rsidRPr="00272A3B">
        <w:rPr>
          <w:rFonts w:ascii="Kaiti SC" w:eastAsia="Kaiti SC" w:hAnsi="Kaiti SC" w:cs="Times New Roman"/>
          <w:sz w:val="24"/>
          <w:szCs w:val="24"/>
        </w:rPr>
        <w:t>地方各级人民政府应当积极支持税务系统信息化建设，并组织有关部门实现相关信息的共享。</w:t>
      </w:r>
    </w:p>
    <w:p w:rsidR="006A2286" w:rsidRPr="00272A3B" w:rsidRDefault="00677915">
      <w:pPr>
        <w:pStyle w:val="a3"/>
        <w:ind w:firstLineChars="200" w:firstLine="480"/>
        <w:rPr>
          <w:rFonts w:ascii="Kaiti SC" w:eastAsia="Kaiti SC" w:hAnsi="Kaiti SC" w:cs="Times New Roman"/>
          <w:color w:val="FF0000"/>
          <w:sz w:val="24"/>
          <w:szCs w:val="24"/>
        </w:rPr>
      </w:pPr>
      <w:r w:rsidRPr="00272A3B">
        <w:rPr>
          <w:rFonts w:ascii="Kaiti SC" w:eastAsia="Kaiti SC" w:hAnsi="Kaiti SC" w:cs="Times New Roman"/>
          <w:sz w:val="24"/>
          <w:szCs w:val="24"/>
        </w:rPr>
        <w:t>第五条　税收征管法第八条所称为纳税人、扣缴义务人保密的情况，是指纳税人、扣缴义务人的商业秘密及个人隐私。纳税人、扣缴义务人的税收违法行为不属于保密范围。</w:t>
      </w:r>
      <w:r w:rsidR="002D51AE">
        <w:rPr>
          <w:rFonts w:ascii="Kaiti SC" w:eastAsia="Kaiti SC" w:hAnsi="Kaiti SC" w:cs="Times New Roman" w:hint="eastAsia"/>
          <w:color w:val="FF0000"/>
          <w:sz w:val="24"/>
          <w:szCs w:val="24"/>
        </w:rPr>
        <w:t>（保密范围：商业秘密及个人隐私）</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第六条　国家税务总局应当制定税务人员行为准则和服务规范。</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lastRenderedPageBreak/>
        <w:t>上级税务机关发现下级税务机关的税收违法行为，应当及时予以纠正；下级税务机关应当按照上级税务机关的决定及时改正。</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下级税务机关发现上级税务机关的税收违法行为，应当向上级税务机关或者有关部门报告。</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第七条　税务机关根据检举人的贡献大小给予相应的奖励，奖励所需资金列入税务部门年度预算，单项核定。奖励资金具体使用办法以及奖励标准，由国家税务总局会同财政部制定。</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第八条　税务人员在核定应纳税额、调整税收定额、进行税务检查、实施税务行政处罚、办理税务行政复议时，与纳税人、扣缴义务人或者其法定代表人、直接责任人有下列关系之一的，应当</w:t>
      </w:r>
      <w:r w:rsidRPr="002D51AE">
        <w:rPr>
          <w:rFonts w:ascii="Kaiti SC" w:eastAsia="Kaiti SC" w:hAnsi="Kaiti SC" w:cs="Times New Roman"/>
          <w:color w:val="FF0000"/>
          <w:sz w:val="24"/>
          <w:szCs w:val="24"/>
        </w:rPr>
        <w:t>回避：</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(一)夫妻关系；</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(二)直系血亲关系；</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(三)三代以内旁系血亲关系；</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(四)近姻亲关系；</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(五)可能影响公正执法的其他利害关系。</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第九条　税收征管法第十四条所称按照国务院规定设立的并向社会公告的税务机构，是指省以下税务局的稽查局。稽查局专司偷税、逃避追缴欠税、骗税、抗税案件的查处。</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国家税务总局应当明确划分税务局和稽查局的职责，避免职责交叉。</w:t>
      </w:r>
    </w:p>
    <w:p w:rsidR="006A2286" w:rsidRPr="002D51AE" w:rsidRDefault="00677915">
      <w:pPr>
        <w:pStyle w:val="2"/>
        <w:rPr>
          <w:rFonts w:ascii="方正黑体_GBK"/>
          <w:sz w:val="28"/>
          <w:szCs w:val="28"/>
        </w:rPr>
      </w:pPr>
      <w:r w:rsidRPr="002D51AE">
        <w:rPr>
          <w:rFonts w:ascii="方正黑体_GBK" w:hAnsi="Times New Roman" w:cs="Times New Roman" w:hint="eastAsia"/>
          <w:sz w:val="28"/>
          <w:szCs w:val="28"/>
        </w:rPr>
        <w:t>第二章　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第十条　国家税务局、地方税务局对同一纳税人的税务登记应当采用同一代</w:t>
      </w:r>
      <w:r w:rsidRPr="002D51AE">
        <w:rPr>
          <w:rFonts w:ascii="Kaiti SC" w:eastAsia="Kaiti SC" w:hAnsi="Kaiti SC" w:cs="Times New Roman"/>
          <w:sz w:val="24"/>
          <w:szCs w:val="24"/>
        </w:rPr>
        <w:lastRenderedPageBreak/>
        <w:t>码，信息共享。</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税务登记的具体办法由国家税务总局制定。</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第十一条　各级工商行政管理机关应当向同级国家税务局和地方税务局定期通报办理开业、变更、注销登记以及吊销营业执照的情况。</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通报的具体办法由国家税务总局和国家工商行政管理总局联合制定。</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第十二条　从事生产、经营的纳税人应当自领取营业执照之日起30日内，向生产、经营地或者纳税义务发生地的主管税务机关申报办理税务登记，如实填写税务登记表，并按照税务机关的要求提供有关证件、资料。</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前款规定以外的纳税人，除国家机关和个人外，应当自纳税义务发生之日起30日内，持有关证件向所在地的主管税务机关申报办理税务登记。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个人所得税的纳税人办理税务登记的办法由国务院另行规定。</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税务登记证件的式样，由国家税务总局制定。</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第十三条　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第十四条　纳税人税务登记内容发生变化的，应当自工商行政管理机关或者其他机关办理变更登记之日起30日内，持有关证件向原税务登记机关申报办理变更税务登记。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纳税人税务登记内容发生变化，不需要到工商行政管理机关或者其他机关办理变更登记的，应当自发生变化之日起30日内，持有关证件向原税务登记机关申报办理变更税务登记。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lastRenderedPageBreak/>
        <w:t>第十五条　纳税人发生解散、破产、撤销以及其他情形，依法终止纳税义务的，应当在向工商行政管理机关或者其他机关办理注销登记前，持有关证件向原税务登记机关申报办理注销税务登记；按照规定不需要在工商行政管理机关或者其他机关办理注册登记的，应当自有关机关批准或者宣告终止之日起15日内，持有关证件向原税务登记机关申报办理注销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纳税人因住所、经营地点变动，涉及改变税务登记机关的，应当在向工商行政管理机关或者其他机关申请办理变更或者注销登记前或者住所、经营地点变动前，向原税务登记机关申报办理注销税务登记，并在30日内向迁达地税务机关申报办理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纳税人被工商行政管理机关吊销营业执照或者被其他机关予以撤销登记的，应当自营业执照被吊销或者被撤销登记之日起15日内，向原税务登记机关申报办理注销税务登记。</w:t>
      </w:r>
    </w:p>
    <w:p w:rsidR="006A2286" w:rsidRPr="002D51AE" w:rsidRDefault="00677915">
      <w:pPr>
        <w:pStyle w:val="a3"/>
        <w:ind w:firstLineChars="200" w:firstLine="480"/>
        <w:rPr>
          <w:rFonts w:ascii="Kaiti SC" w:eastAsia="Kaiti SC" w:hAnsi="Kaiti SC" w:cs="Times New Roman"/>
          <w:sz w:val="24"/>
          <w:szCs w:val="24"/>
        </w:rPr>
      </w:pPr>
      <w:r w:rsidRPr="002D51AE">
        <w:rPr>
          <w:rFonts w:ascii="Kaiti SC" w:eastAsia="Kaiti SC" w:hAnsi="Kaiti SC" w:cs="Times New Roman"/>
          <w:sz w:val="24"/>
          <w:szCs w:val="24"/>
        </w:rPr>
        <w:t>第十六条　纳税人在办理注销税务登记前，应当向税务机关结清应纳税款、滞纳金、罚款，缴销发票、税务登记证件和其他税务证件。</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第十七条　从事生产、经营的纳税人应当自开立基本存款账户或者其他存款账户之日起15日内，向主管税务机关书面报告其全部账号；发生变化的，应当自变化之日起15日内，向主管税务机关书面报告。</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第十八条　除按照规定不需要发给税务登记证件的外，纳税人办理下列事项时，必须持税务登记证件：</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(一)开立银行账户；</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(二)申请减税、免税、退税；</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(三)申请办理延期申报、延期缴纳税款；</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lastRenderedPageBreak/>
        <w:t>(四)领购发票；</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(五)申请开具外出经营活动税收管理证明；</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(六)办理停业、歇业；</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(七)其他有关税务事项。</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第十九条　税务机关对税务登记证件实行定期验证和换证制度。纳税人应当在规定的期限内持有关证件到主管税务机关办理验证或者换证手续。</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第二十条　纳税人应当将税务登记证件正本在其生产、经营场所或者办公场所公开悬挂，接受税务机关检查。</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纳税人遗失税务登记证件的，应当在15日内书面报告主管税务机关，并登报声明作废。</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第二十一条　从事生产、经营的纳税人到外县(市)临时从事生产、经营活动的，应当持税务登记证副本和所在地税务机关填开的外出经营活动税收管理证明，向营业地税务机关报验登记，接受税务管理。</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从事生产、经营的纳税人外出经营，在同一地累计超过180天的，应当在营业地办理税务登记手续。</w:t>
      </w:r>
    </w:p>
    <w:p w:rsidR="006A2286" w:rsidRPr="00D84C92" w:rsidRDefault="00677915">
      <w:pPr>
        <w:pStyle w:val="2"/>
        <w:rPr>
          <w:rFonts w:ascii="方正黑体_GBK"/>
          <w:sz w:val="28"/>
          <w:szCs w:val="28"/>
        </w:rPr>
      </w:pPr>
      <w:r w:rsidRPr="00D84C92">
        <w:rPr>
          <w:rFonts w:ascii="方正黑体_GBK" w:hAnsi="Times New Roman" w:cs="Times New Roman" w:hint="eastAsia"/>
          <w:sz w:val="28"/>
          <w:szCs w:val="28"/>
        </w:rPr>
        <w:t>第三章　账簿、凭证管理</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第二十二条　从事生产、经营的纳税人应当自领取营业执照或者发生纳税义务之日起15日内，</w:t>
      </w:r>
      <w:r w:rsidRPr="00D84C92">
        <w:rPr>
          <w:rFonts w:ascii="Kaiti SC" w:eastAsia="Kaiti SC" w:hAnsi="Kaiti SC" w:cs="Times New Roman"/>
          <w:color w:val="FF0000"/>
          <w:sz w:val="24"/>
          <w:szCs w:val="24"/>
        </w:rPr>
        <w:t>按照国家有关规定设置账簿。</w:t>
      </w:r>
      <w:r w:rsidR="00D84C92">
        <w:rPr>
          <w:rFonts w:ascii="Kaiti SC" w:eastAsia="Kaiti SC" w:hAnsi="Kaiti SC" w:cs="Times New Roman" w:hint="eastAsia"/>
          <w:color w:val="FF0000"/>
          <w:sz w:val="24"/>
          <w:szCs w:val="24"/>
        </w:rPr>
        <w:t>（建账义务）</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前款所称账簿，是指总账、明细账、日记账以及其他辅助性账簿。总账、日记账应当采用订本式。</w:t>
      </w:r>
    </w:p>
    <w:p w:rsidR="006A2286" w:rsidRPr="00D84C92" w:rsidRDefault="00677915">
      <w:pPr>
        <w:pStyle w:val="a3"/>
        <w:ind w:firstLineChars="200" w:firstLine="480"/>
        <w:rPr>
          <w:rFonts w:ascii="Kaiti SC" w:eastAsia="Kaiti SC" w:hAnsi="Kaiti SC" w:cs="Times New Roman"/>
          <w:color w:val="FF0000"/>
          <w:sz w:val="24"/>
          <w:szCs w:val="24"/>
        </w:rPr>
      </w:pPr>
      <w:r w:rsidRPr="00D84C92">
        <w:rPr>
          <w:rFonts w:ascii="Kaiti SC" w:eastAsia="Kaiti SC" w:hAnsi="Kaiti SC" w:cs="Times New Roman"/>
          <w:sz w:val="24"/>
          <w:szCs w:val="24"/>
        </w:rPr>
        <w:t>第二十三条　生产、经营规模小又确无建账能力的纳税人，</w:t>
      </w:r>
      <w:r w:rsidRPr="00D84C92">
        <w:rPr>
          <w:rFonts w:ascii="Kaiti SC" w:eastAsia="Kaiti SC" w:hAnsi="Kaiti SC" w:cs="Times New Roman"/>
          <w:color w:val="FF0000"/>
          <w:sz w:val="24"/>
          <w:szCs w:val="24"/>
        </w:rPr>
        <w:t>可以聘请经批准</w:t>
      </w:r>
      <w:r w:rsidRPr="00D84C92">
        <w:rPr>
          <w:rFonts w:ascii="Kaiti SC" w:eastAsia="Kaiti SC" w:hAnsi="Kaiti SC" w:cs="Times New Roman"/>
          <w:color w:val="FF0000"/>
          <w:sz w:val="24"/>
          <w:szCs w:val="24"/>
        </w:rPr>
        <w:lastRenderedPageBreak/>
        <w:t>从事会计代理记账业务的专业机构或者财会人员代为建账和办理账务。</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第二十四条　从事生产、经营的纳税人应当自领取税务登记证件之日起15日内，将其财务、会计制度或者财务、会计处理办法报送主管税务机关备案。</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纳税人使用计算机记账的，应当在使用前将会计电算化系统的会计核算软件、使用说明书及有关资料报送主管税务机关备案。</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纳税人建立的会计电算化系统应当符合国家有关规定，并能正确、完整核算其收入或者所得。</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第二十五条　扣缴义务人应当自税收法律、行政法规规定的扣缴义务发生之日起10日内，按照所代扣、代收的税种，分别设置代扣代缴、代收代缴税款账簿。</w:t>
      </w:r>
    </w:p>
    <w:p w:rsidR="006A2286" w:rsidRPr="00D84C92" w:rsidRDefault="00677915">
      <w:pPr>
        <w:pStyle w:val="a3"/>
        <w:ind w:firstLineChars="200" w:firstLine="480"/>
        <w:rPr>
          <w:rFonts w:ascii="Kaiti SC" w:eastAsia="Kaiti SC" w:hAnsi="Kaiti SC" w:cs="Times New Roman"/>
          <w:color w:val="FF0000"/>
          <w:sz w:val="24"/>
          <w:szCs w:val="24"/>
        </w:rPr>
      </w:pPr>
      <w:r w:rsidRPr="00D84C92">
        <w:rPr>
          <w:rFonts w:ascii="Kaiti SC" w:eastAsia="Kaiti SC" w:hAnsi="Kaiti SC" w:cs="Times New Roman"/>
          <w:sz w:val="24"/>
          <w:szCs w:val="24"/>
        </w:rPr>
        <w:t>第二十六条　纳税人、扣缴义务人会计制度健全，</w:t>
      </w:r>
      <w:r w:rsidRPr="00D84C92">
        <w:rPr>
          <w:rFonts w:ascii="Kaiti SC" w:eastAsia="Kaiti SC" w:hAnsi="Kaiti SC" w:cs="Times New Roman"/>
          <w:color w:val="FF0000"/>
          <w:sz w:val="24"/>
          <w:szCs w:val="24"/>
        </w:rPr>
        <w:t>能够通过计算机正确、完整计算其收入和所得或者代扣代缴、代收代缴税款情况的，其计算机输出的完整的书面会计记录，可视同会计账簿。</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纳税人、扣缴义务人会计制度不健全，不能通过计算机正确、完整计算其收入和所得或者代扣代缴、代收代缴税款情况的，应当建立总账及与纳税或者代扣代缴、代收代缴税款有关的其他账簿。</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第二十七条　账簿、会计凭证和报表，应当使用中文。民族自治地方可以同时使用当地通用的一种民族文字。外商投资企业和外国企业可以同时使用一种外国文字。</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第二十八条　纳税人应当按照税务机关的要求安装、使用税控装置，并按照税务机关的规定报送有关数据和资料。</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税控装置推广应用的管理办法由国家税务总局另行制定，报国务院批准后实</w:t>
      </w:r>
      <w:r w:rsidRPr="00D84C92">
        <w:rPr>
          <w:rFonts w:ascii="Kaiti SC" w:eastAsia="Kaiti SC" w:hAnsi="Kaiti SC" w:cs="Times New Roman"/>
          <w:sz w:val="24"/>
          <w:szCs w:val="24"/>
        </w:rPr>
        <w:lastRenderedPageBreak/>
        <w:t>施。</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第二十九条　账簿、记账凭证、报表、完税凭证、发票、出口凭证以及其他有关涉税资料应当合法、真实、完整。</w:t>
      </w:r>
    </w:p>
    <w:p w:rsidR="006A2286" w:rsidRPr="00D84C92" w:rsidRDefault="00677915">
      <w:pPr>
        <w:pStyle w:val="a3"/>
        <w:ind w:firstLineChars="200" w:firstLine="480"/>
        <w:rPr>
          <w:rFonts w:ascii="Kaiti SC" w:eastAsia="Kaiti SC" w:hAnsi="Kaiti SC" w:cs="Times New Roman"/>
          <w:sz w:val="24"/>
          <w:szCs w:val="24"/>
        </w:rPr>
      </w:pPr>
      <w:r w:rsidRPr="00D84C92">
        <w:rPr>
          <w:rFonts w:ascii="Kaiti SC" w:eastAsia="Kaiti SC" w:hAnsi="Kaiti SC" w:cs="Times New Roman"/>
          <w:sz w:val="24"/>
          <w:szCs w:val="24"/>
        </w:rPr>
        <w:t>账簿、记账凭证、报表、完税凭证、发票、出口凭证以及其他有关涉税资料应当保存10年；但是，法律、行政法规另有规定的除外。</w:t>
      </w:r>
    </w:p>
    <w:p w:rsidR="006A2286" w:rsidRPr="00D84C92" w:rsidRDefault="00677915">
      <w:pPr>
        <w:pStyle w:val="2"/>
        <w:rPr>
          <w:rFonts w:ascii="方正黑体_GBK"/>
          <w:sz w:val="28"/>
          <w:szCs w:val="28"/>
        </w:rPr>
      </w:pPr>
      <w:r w:rsidRPr="00D84C92">
        <w:rPr>
          <w:rFonts w:ascii="方正黑体_GBK" w:hAnsi="Times New Roman" w:cs="Times New Roman" w:hint="eastAsia"/>
          <w:sz w:val="28"/>
          <w:szCs w:val="28"/>
        </w:rPr>
        <w:t>第四章　纳税申报</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第三十条　税务机关应当建立、健全纳税人自行申报纳税制度。纳税人、扣缴义务人可以采取邮寄、数据电文方式办理纳税申报或者报送代扣代缴、代收代缴税款报告表。</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数据电文方式，是指税务机关确定的电话语音、电子数据交换和网络传输等电子方式。</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第三十一条　纳税人采取邮寄方式办理纳税申报的，应当使用统一的纳税申报专用信封，并以邮政部门收据作为申报凭据。邮寄申报以寄出的邮戳日期为实际申报日期。</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纳税人采取电子方式办理纳税申报的，应当按照税务机关规定的期限和要求保存有关资料，并定期书面报送主管税务机关。</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第三十二条　纳税人在纳税期内没有应纳税款的，也应当按照规定办理纳税申报。</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纳税人享受减税、免税待遇的，在减税、免税期间应当按照规定办理纳税申报。</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第三十三条　纳税人、扣缴义务人的纳税申报或者代扣代缴、代收代缴税款</w:t>
      </w:r>
      <w:r w:rsidRPr="00767307">
        <w:rPr>
          <w:rFonts w:ascii="Kaiti SC" w:eastAsia="Kaiti SC" w:hAnsi="Kaiti SC" w:cs="Times New Roman"/>
          <w:sz w:val="24"/>
          <w:szCs w:val="24"/>
        </w:rPr>
        <w:lastRenderedPageBreak/>
        <w:t>报告表的主要内容包括：税种、税目，应纳税项目或者应代扣代缴、代收代缴税款项目，计税依据，扣除项目及标准，适用税率或者单位税额，应退税项目及税额、应减免税项目及税额，应纳税额或者应代扣代缴、代收代缴税额，税款所属期限、延期缴纳税款、欠税、滞纳金等。</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第三十四条　纳税人办理纳税申报时，应当如实填写纳税申报表，并根据不同的情况相应报送下列有关证件、资料：</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(一)财务会计报表及其说明材料；</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(二)与纳税有关的合同、协议书及凭证；</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(三)税控装置的电子报税资料；</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(四)外出经营活动税收管理证明和异地完税凭证；</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(五)境内或者境外公证机构出具的有关证明文件；</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(六)税务机关规定应当报送的其他有关证件、资料。</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第三十五条　扣缴义务人办理代扣代缴、代收代缴税款报告时，应当如实填写代扣代缴、代收代缴税款报告表，并报送代扣代缴、代收代缴税款的合法凭证以及税务机关规定的其他有关证件、资料。</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第三十六条　实行定期定额缴纳税款的纳税人，可以实行简易申报、简并征期等申报纳税方式。</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第三十七条　纳税人、扣缴义务人按照规定的期限办理纳税申报或者报送代扣代缴、代收代缴税款报告表确有困难，需要延期的，应当在规定的期限内向税务机关提出书面延期申请，经税务机关核准，在核准的期限内办理。</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纳税人、扣缴义务人因不可抗力，不能按期办理纳税申报或者报送代扣代缴、代收代缴税款报告表的，可以延期办理；但是，应当在不可抗力情形消除后立即</w:t>
      </w:r>
      <w:r w:rsidRPr="00767307">
        <w:rPr>
          <w:rFonts w:ascii="Kaiti SC" w:eastAsia="Kaiti SC" w:hAnsi="Kaiti SC" w:cs="Times New Roman"/>
          <w:sz w:val="24"/>
          <w:szCs w:val="24"/>
        </w:rPr>
        <w:lastRenderedPageBreak/>
        <w:t>向税务机关报告。税务机关应当查明事实，予以核准。</w:t>
      </w:r>
    </w:p>
    <w:p w:rsidR="006A2286" w:rsidRPr="00767307" w:rsidRDefault="00677915">
      <w:pPr>
        <w:pStyle w:val="2"/>
        <w:rPr>
          <w:rFonts w:ascii="方正黑体_GBK"/>
          <w:sz w:val="28"/>
          <w:szCs w:val="28"/>
        </w:rPr>
      </w:pPr>
      <w:r w:rsidRPr="00767307">
        <w:rPr>
          <w:rFonts w:ascii="方正黑体_GBK" w:hAnsi="Times New Roman" w:cs="Times New Roman" w:hint="eastAsia"/>
          <w:sz w:val="28"/>
          <w:szCs w:val="28"/>
        </w:rPr>
        <w:t>第五章　税款征收</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第三十八条　税务机关应当加强对税款征收的管理，建立、健全责任制度。</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税务机关根据保证国家税款及时足额入库、方便纳税人、降低税收成本的原则，确定税款征收的方式。</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税务机关应当加强对纳税人出口退税的管理，具体管理办法由国家税务总局会同国务院有关部门制定。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第三十九条　税务机关应当将各种税收的税款、滞纳金、罚款，按照国家规定的预算科目和预算级次及时缴入国库，税务机关不得占压、挪用、截留，不得缴入国库以外或者国家规定的税款账户以外的任何账户。</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已缴入国库的税款、滞纳金、罚款，任何单位和个人不得擅自变更预算科目和预算级次。</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第四十条　税务机关应当根据方便、快捷、安全的原则，积极推广使用支票、银行卡、电子结算方式缴纳税款。</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第四十一条　纳税人有下列情形之一的，属于税收征管法第三十一条所称特殊困难：</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(一)因不可抗力，导致纳税人发生较大损失，正常生产经营活动受到较大影响的；</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(二)当期货币资金在扣除应付职工工资、社会保险费后，不足以缴纳税款的。</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计划单列市国家税务局、地方税务局可以参照税收征管法第三十一条第二款的批准权限，审批纳税人延期缴纳税款。</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lastRenderedPageBreak/>
        <w:t>第四十二条　纳税人需要延期缴纳税款的，应当在缴纳税款期限届满前提出申请，并报送下列材料：申请延期缴纳税款报告，当期货币资金余额情况及所有银行存款账户的对账单，资产负债表，应付职工工资和社会保险费等税务机关要求提供的支出预算。</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税务机关应当自收到申请延期缴纳税款报告之日起20日内作出批准或者不予批准的决定；不予批准的，从缴纳税款期限届满之日起加收滞纳金。</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第四十三条　享受减税、免税优惠的纳税人，减税、免税期满，应当自期满次日起恢复纳税；减税、免税条件发生变化的，应当在纳税申报时向税务机关报告；不再符合减税、免税条件的，应当依法履行纳税义务；未依法纳税的，税务机关应当予以追缴。</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第四十四条　税务机关根据有利于税收控管和方便纳税的原则，可以按照国家有关规定委托有关单位和人员代征零星分散和异地缴纳的税收，并发给委托代征证书。受托单位和人员按照代征证书的要求，以税务机关的名义依法征收税款，纳税人不得拒绝；纳税人拒绝的，受托代征单位和人员应当及时报告税务机关。</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第四十五条　税收征管法第三十四条所称完税凭证，是指各种完税证、缴款书、印花税票、扣(收)税凭证以及其他完税证明。</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未经税务机关指定，任何单位、个人不得印制完税凭证。完税凭证不得转借、倒卖、变造或者伪造。</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完税凭证的式样及管理办法由国家税务总局制定。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第四十六条　税务机关收到税款后，应当向纳税人开具完税凭证。纳税人通过银行缴纳税款的，税务机关可以委托银行开具完税凭证。</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第四十七条　纳税人有税收征管法第三十五条或者第三十七条所列情形之</w:t>
      </w:r>
      <w:r w:rsidRPr="00767307">
        <w:rPr>
          <w:rFonts w:ascii="Kaiti SC" w:eastAsia="Kaiti SC" w:hAnsi="Kaiti SC" w:cs="Times New Roman"/>
          <w:sz w:val="24"/>
          <w:szCs w:val="24"/>
        </w:rPr>
        <w:lastRenderedPageBreak/>
        <w:t>一的，税务机关有权采用下列任何一种方法核定其应纳税额：</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(一)参照当地同类行业或者类似行业中经营规模和收入水平相近的纳税人的税负水平核定；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(二)按照营业收入或者成本加合理的费用和利润的方法核定；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(三)按照耗用的原材料、燃料、动力等推算或者测算核定；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(四)按照其他合理方法核定。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采用前款所列一种方法不足以正确核定应纳税额时，可以同时采用两种以上的方法核定。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纳税人对税务机关采取本条规定的方法核定的应纳税额有异议的，应当提供相关证据，经税务机关认定后，调整应纳税额。</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第四十八条　税务机关负责纳税人纳税信誉等级评定工作。纳税人纳税信誉等级的评定办法由国家税务总局制定。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第四十九条　承包人或者承租人有独立的生产经营权，在财务上独立核算，并定期向发包人或者出租人上缴承包费或者租金的，承包人或者承租人应当就其生产、经营收入和所得纳税，并接受税务管理；但是，法律、行政法规另有规定的除外。</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发包人或者出租人应当自发包或者出租之日起30日内将承包人或者承租人的有关情况向主管税务机关报告。发包人或者出租人不报告的，发包人或者出租人与承包人或者承租人承担纳税连带责任。</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第五十条　纳税人有解散、撤销、破产情形的，在清算前应当向其主管税务机关报告；未结清税款的，由其主管税务机关参加清算。</w:t>
      </w:r>
    </w:p>
    <w:p w:rsidR="006A2286" w:rsidRPr="00767307" w:rsidRDefault="00677915">
      <w:pPr>
        <w:pStyle w:val="a3"/>
        <w:ind w:firstLineChars="200" w:firstLine="480"/>
        <w:rPr>
          <w:rFonts w:ascii="Kaiti SC" w:eastAsia="Kaiti SC" w:hAnsi="Kaiti SC" w:cs="Times New Roman"/>
          <w:color w:val="FF0000"/>
          <w:sz w:val="24"/>
          <w:szCs w:val="24"/>
        </w:rPr>
      </w:pPr>
      <w:r w:rsidRPr="00767307">
        <w:rPr>
          <w:rFonts w:ascii="Kaiti SC" w:eastAsia="Kaiti SC" w:hAnsi="Kaiti SC" w:cs="Times New Roman"/>
          <w:sz w:val="24"/>
          <w:szCs w:val="24"/>
        </w:rPr>
        <w:t>第五十一条　税收征管法第三十六条所称</w:t>
      </w:r>
      <w:r w:rsidRPr="00767307">
        <w:rPr>
          <w:rFonts w:ascii="Kaiti SC" w:eastAsia="Kaiti SC" w:hAnsi="Kaiti SC" w:cs="Times New Roman"/>
          <w:color w:val="FF0000"/>
          <w:sz w:val="24"/>
          <w:szCs w:val="24"/>
        </w:rPr>
        <w:t>关联企业</w:t>
      </w:r>
      <w:r w:rsidRPr="00767307">
        <w:rPr>
          <w:rFonts w:ascii="Kaiti SC" w:eastAsia="Kaiti SC" w:hAnsi="Kaiti SC" w:cs="Times New Roman"/>
          <w:sz w:val="24"/>
          <w:szCs w:val="24"/>
        </w:rPr>
        <w:t>，是指有下列关系之一的</w:t>
      </w:r>
      <w:r w:rsidRPr="00767307">
        <w:rPr>
          <w:rFonts w:ascii="Kaiti SC" w:eastAsia="Kaiti SC" w:hAnsi="Kaiti SC" w:cs="Times New Roman"/>
          <w:sz w:val="24"/>
          <w:szCs w:val="24"/>
        </w:rPr>
        <w:lastRenderedPageBreak/>
        <w:t>公司、企业和其他经济组织：</w:t>
      </w:r>
      <w:r w:rsidR="00767307">
        <w:rPr>
          <w:rFonts w:ascii="Kaiti SC" w:eastAsia="Kaiti SC" w:hAnsi="Kaiti SC" w:cs="Times New Roman" w:hint="eastAsia"/>
          <w:color w:val="FF0000"/>
          <w:sz w:val="24"/>
          <w:szCs w:val="24"/>
        </w:rPr>
        <w:t>（如何认定关联企业）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(一)在资金、经营、购销等方面，存在直接或者间接的拥有或者控制关系；</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(二)直接或者间接地同为第三者所拥有或者控制；</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(三)在利益上具有相关联的其他关系。</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纳税人有义务就其与关联企业之间的业务往来，向当地税务机关提供有关的价格、费用标准等资料。具体办法由国家税务总局制定。</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第五十二条　税收征管法第三十六条所称独立企业之间的业务往来，是指没有关联关系的企业之间按照公平成交价格和营业常规所进行的业务往来。</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第五十三条　纳税人可以向主管税务机关提出与其关联企业之间业务往来的定价原则和计算方法，主管税务机关审核、批准后，与纳税人预先约定有关定价事项，监督纳税人执行。</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第五十四条　纳税人与其关联企业之间的业务往来有下列情形之一的，税务机关可以调整其应纳税额：</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(一)购销业务未按照独立企业之间的业务往来作价；</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(二)融通资金所支付或者收取的利息超过或者低于没有关联关系的企业之间所能同意的数额，或者利率超过或者低于同类业务的正常利率；</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(三)提供劳务，未按照独立企业之间业务往来收取或者支付劳务费用；</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(四)转让财产、提供财产使用权等业务往来，未按照独立企业之间业务往来作价或者收取、支付费用；</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(五)未按照独立企业之间业务往来作价的其他情形。</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第五十五条　纳税人有本细则第五十四条所列情形之一的，税务机关可以按照下列方法调整计税收入额或者所得额：</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lastRenderedPageBreak/>
        <w:t>(一)按照独立企业之间进行的相同或者类似业务活动的价格；</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(二)按照再销售给无关联关系的第三者的价格所应取得的收入和利润水平；</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(三)按照成本加合理的费用和利润；</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(四)按照其他合理的方法。</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第五十六条　纳税人与其关联企业未按照独立企业之间的业务往来支付价款、费用的，税务机关自该业务往来发生的纳税年度起3年内进行调整；有特殊情况的，可以自该业务往来发生的纳税年度起10年内进行调整。</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第五十七条　税收征管法第三十七条所称未按照规定办理税务登记从事生产、经营的纳税人，包括到外县(市)从事生产、经营而未向营业地税务机关报验登记的纳税人。</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第五十八条　税务机关依照税收征管法第三十七条的规定，扣押纳税人商品、货物的，纳税人应当自扣押之日起15日内缴纳税款。</w:t>
      </w:r>
    </w:p>
    <w:p w:rsidR="006A2286" w:rsidRPr="00767307" w:rsidRDefault="00677915">
      <w:pPr>
        <w:pStyle w:val="a3"/>
        <w:ind w:firstLineChars="200" w:firstLine="480"/>
        <w:rPr>
          <w:rFonts w:ascii="Kaiti SC" w:eastAsia="Kaiti SC" w:hAnsi="Kaiti SC" w:cs="Times New Roman"/>
          <w:sz w:val="24"/>
          <w:szCs w:val="24"/>
        </w:rPr>
      </w:pPr>
      <w:r w:rsidRPr="00767307">
        <w:rPr>
          <w:rFonts w:ascii="Kaiti SC" w:eastAsia="Kaiti SC" w:hAnsi="Kaiti SC" w:cs="Times New Roman"/>
          <w:sz w:val="24"/>
          <w:szCs w:val="24"/>
        </w:rPr>
        <w:t>对扣押的鲜活、易腐烂变质或者易失效的商品、货物，税务机关根据被扣押物品的保质期，可以缩短前款规定的扣押期限。</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第五十九条　税收征管法第三十八条、第四十条所称其他财产，包括纳税人的房地产、现金、有价证券等不动产和动产。</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机动车辆、金银饰品、古玩字画、豪华住宅或者一处以外的住房不属于税收征管法第三十八条、第四十条、第四十二条所称个人及其所扶养家属维持生活必需的住房和用品。</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税务机关对单价5000元以下的其他生活用品，不采取税收保全措施和强制执行措施。</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第六十条　税收征管法第三十八条、第四十条、第四十二条所称个人所扶养</w:t>
      </w:r>
      <w:r w:rsidRPr="00586DFB">
        <w:rPr>
          <w:rFonts w:ascii="Kaiti SC" w:eastAsia="Kaiti SC" w:hAnsi="Kaiti SC" w:cs="Times New Roman"/>
          <w:sz w:val="24"/>
          <w:szCs w:val="24"/>
        </w:rPr>
        <w:lastRenderedPageBreak/>
        <w:t>家属，是指与纳税人共同居住生活的配偶、直系亲属以及无生活来源并由纳税人扶养的其他亲属。</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第六十一条　税收征管法第三十八条、第八十八条所称担保，包括经税务机关认可的纳税保证人为纳税人提供的纳税保证，以及纳税人或者第三人以其未设置或者未全部设置担保物权的财产提供的担保。</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纳税保证人，是指在中国境内具有纳税担保能力的自然人、法人或者其他经济组织。</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法律、行政法规规定的没有担保资格的单位和个人，不得作为纳税担保人。</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第六十二条　纳税担保人同意为纳税人提供纳税担保的，应当填写纳税担保书，写明担保对象、担保范围、担保期限和担保责任以及其他有关事项。担保书须经纳税人、纳税担保人签字盖章并经税务机关同意，方为有效。</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纳税人或者第三人以其财产提供纳税担保的，应当填写财产清单，并写明财产价值以及其他有关事项。纳税担保财产清单须经纳税人、第三人签字盖章并经税务机关确认，方为有效。</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第六十三条　税务机关执行扣押、查封商品、货物或者其他财产时，应当由两名以上税务人员执行，并通知被执行人。被执行人是自然人的，应当通知被执行人本人或者其成年家属到场；被执行人是法人或者其他组织的，应当通知其法定代表人或者主要负责人到场；拒不到场的，不影响执行。</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第六十四条　税务机关执行税收征管法第三十七条、第三十八条、第四十条的规定，扣押、查封价值相当于应纳税款的商品、货物或者其他财产时，参照同类商品的市场价、出厂价或者评估价估算。</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税务机关按照前款方法确定应扣押、查封的商品、货物或者其他财产的价值</w:t>
      </w:r>
      <w:r w:rsidRPr="00586DFB">
        <w:rPr>
          <w:rFonts w:ascii="Kaiti SC" w:eastAsia="Kaiti SC" w:hAnsi="Kaiti SC" w:cs="Times New Roman"/>
          <w:sz w:val="24"/>
          <w:szCs w:val="24"/>
        </w:rPr>
        <w:lastRenderedPageBreak/>
        <w:t>时，还应当包括滞纳金和拍卖、变卖所发生的费用。</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第六十五条　对价值超过应纳税额且不可分割的商品、货物或者其他财产，税务机关在纳税人、扣缴义务人或者纳税担保人无其他可供强制执行的财产的情况下，可以整体扣押、查封、拍卖。</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第六十六条　税务机关执行税收征管法第三十七条、第三十八条、第四十条的规定，实施扣押、查封时，对有产权证件的动产或者不动产，税务机关可以责令当事人将产权证件交税务机关保管，同时可以向有关机关发出协助执行通知书，有关机关在扣押、查封期间不再办理该动产或者不动产的过户手续。</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第六十七条　对查封的商品、货物或者其他财产，税务机关可以指令被执行人负责保管，保管责任由被执行人承担。</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继续使用被查封的财产不会减少其价值的，税务机关可以允许被执行人继续使用；因被执行人保管或者使用的过错造成的损失，由被执行人承担。</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第六十八条　纳税人在税务机关采取税收保全措施后，按照税务机关规定的期限缴纳税款的，税务机关应当自收到税款或者银行转回的完税凭证之日起1日内解除税收保全。</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第六十九条　税务机关将扣押、查封的商品、货物或者其他财产变价抵缴税款时，</w:t>
      </w:r>
      <w:r w:rsidRPr="00586DFB">
        <w:rPr>
          <w:rFonts w:ascii="Kaiti SC" w:eastAsia="Kaiti SC" w:hAnsi="Kaiti SC" w:cs="Times New Roman"/>
          <w:color w:val="FF0000"/>
          <w:sz w:val="24"/>
          <w:szCs w:val="24"/>
        </w:rPr>
        <w:t>应当交由依法成立的拍卖机构拍卖；</w:t>
      </w:r>
      <w:r w:rsidRPr="00586DFB">
        <w:rPr>
          <w:rFonts w:ascii="Kaiti SC" w:eastAsia="Kaiti SC" w:hAnsi="Kaiti SC" w:cs="Times New Roman"/>
          <w:sz w:val="24"/>
          <w:szCs w:val="24"/>
        </w:rPr>
        <w:t>无法委托拍卖或者不适于拍卖的，可以交由当地商业企业代为销售，也可以责令纳税人限期处理；无法委托商业企业销售，纳税人也无法处理的，可以由税务机关变价处理，具体办法由国家税务总局规定。国家禁止自由买卖的商品，应当交由有关单位按照国家规定的价格收购。</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拍卖或者变卖所得抵缴税款、滞纳金、罚款以及拍卖、变卖等费用后，剩余部分应当在3日内退还被执行人。</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lastRenderedPageBreak/>
        <w:t>第七十条　税收征管法第三十九条、第四十三条所称损失，是指因税务机关的责任，使纳税人、扣缴义务人或者纳税担保人的合法利益遭受的直接损失。</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第七十一条　税收征管法所称其他金融机构，是指信托投资公司、信用合作社、邮政储蓄机构以及经中国人民银行、中国证券监督管理委员会等批准设立的其他金融机构。</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第七十二条　税收征管法所称存款，包括独资企业投资人、合伙企业合伙人、个体工商户的储蓄存款以及股东资金账户中的资金等。</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第七十三条　从事生产、经营的纳税人、扣缴义务人未按照规定的期限缴纳或者解缴税款的，纳税担保人未按照规定的期限缴纳所担保的税款的，由税务机关发出限期缴纳税款通知书，责令缴纳或者解缴税款的最长期限不得超过15日。</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第七十四条　欠缴税款的纳税人或者其法定代表人在出境前未按照规定结清应纳税款、滞纳金或者提供纳税担保的，税务机关可以通知出入境管理机关阻止其出境。阻止出境的具体办法，由国家税务总局会同公安部制定。</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第七十五条　税收征管法第三十二条规定的加收滞纳金的起止时间，为法律、行政法规规定或者税务机关依照法律、行政法规的规定确定的税款缴纳期限届满次日起至纳税人、扣缴义务人实际缴纳或者解缴税款之日止。</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第七十六条　县级以上各级税务机关应当将纳税人的欠税情况，在办税场所或者广播、电视、报纸、期刊、网络等新闻媒体上定期公告。</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对纳税人欠缴税款的情况实行定期公告的办法，由国家税务总局制定。</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第七十七条　税收征管法第四十九条所称欠缴税款数额较大，是指欠缴税款5万元以上。</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第七十八条　税务机关发现纳税人多缴税款的，应当自发现之日起10日内</w:t>
      </w:r>
      <w:r w:rsidRPr="00586DFB">
        <w:rPr>
          <w:rFonts w:ascii="Kaiti SC" w:eastAsia="Kaiti SC" w:hAnsi="Kaiti SC" w:cs="Times New Roman"/>
          <w:sz w:val="24"/>
          <w:szCs w:val="24"/>
        </w:rPr>
        <w:lastRenderedPageBreak/>
        <w:t>办理退还手续；纳税人发现多缴税款，要求退还的，税务机关应当自接到纳税人退还申请之日起30日内查实并办理退还手续。</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税收征管法第五十一条规定的加算银行同期存款利息的多缴税款退税，不包括依法预缴税款形成的结算退税、出口退税和各种减免退税。</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退税利息按照税务机关办理退税手续当天中国人民银行规定的活期存款利率计算。</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第七十九条　当纳税人既有应退税款又有欠缴税款的，税务机关可以将应退税款和利息先抵扣欠缴税款；抵扣后有余额的，退还纳税人。</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第八十条　税收征管法第五十二条所称税务机关的责任，是指税务机关适用税收法律、行政法规不当或者执法行为违法。</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第八十一条　税收征管法第五十二条所称纳税人、扣缴义务人计算错误等失误，是指非主观故意的计算公式运用错误以及明显的笔误。</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第八十二条　税收征管法第五十二条所称特殊情况，是指纳税人或者扣缴义务人因计算错误等失误，未缴或者少缴、未扣或者少扣、未收或者少收税款，累计数额在10万元以上的。</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第八十三条　税收征管法第五十二条规定的补缴和追征税款、滞纳金的期限，自纳税人、扣缴义务人应缴未缴或者少缴税款之日起计算。</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第八十四条　审计机关、财政机关依法进行审计、检查时，对税务机关的税收违法行为作出的决定，税务机关应当执行；发现被审计、检查单位有税收违法行为的，向被审计、检查单位下达决定、意见书，责成被审计、检查单位向税务机关缴纳应当缴纳的税款、滞纳金。税务机关应当根据有关机关的决定、意见书，依照税收法律、行政法规的规定，将应收的税款、滞纳金按照国家规定的税收征</w:t>
      </w:r>
      <w:r w:rsidRPr="00586DFB">
        <w:rPr>
          <w:rFonts w:ascii="Kaiti SC" w:eastAsia="Kaiti SC" w:hAnsi="Kaiti SC" w:cs="Times New Roman"/>
          <w:sz w:val="24"/>
          <w:szCs w:val="24"/>
        </w:rPr>
        <w:lastRenderedPageBreak/>
        <w:t>收管理范围和税款入库预算级次缴入国库。</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税务机关应当自收到审计机关、财政机关的决定、意见书之日起30日内将执行情况书面回复审计机关、财政机关。</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有关机关不得将其履行职责过程中发现的税款、滞纳金自行征收入库或者以其他款项的名义自行处理、占压。</w:t>
      </w:r>
    </w:p>
    <w:p w:rsidR="006A2286" w:rsidRPr="00586DFB" w:rsidRDefault="00677915">
      <w:pPr>
        <w:pStyle w:val="2"/>
        <w:rPr>
          <w:rFonts w:ascii="方正黑体_GBK"/>
          <w:sz w:val="28"/>
          <w:szCs w:val="28"/>
        </w:rPr>
      </w:pPr>
      <w:r w:rsidRPr="00586DFB">
        <w:rPr>
          <w:rFonts w:ascii="方正黑体_GBK" w:hAnsi="Times New Roman" w:cs="Times New Roman" w:hint="eastAsia"/>
          <w:sz w:val="28"/>
          <w:szCs w:val="28"/>
        </w:rPr>
        <w:t>第六章　税务检查</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第八十五条　税务机关应当建立科学的检查制度，统筹安排检查工作，严格控制对纳税人、扣缴义务人的检查次数。</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税务机关应当制定合理的税务稽查工作规程，负责选案、检查、审理、执行的人员的职责应当明确，并相互分离、相互制约，规范选案程序和检查行为。</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税务检查工作的具体办法，由国家税务总局制定。</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第八十六条　税务机关行使税收征管法第五十四条第(一)项职权时，可以在纳税人、扣缴义务人的业务场所进行；必要时，经县以上税务局(分局)局长批准，可以将纳税人、扣缴义务人以前会计年度的账簿、记账凭证、报表和其他有关资料调回税务机关检查，但是税务机关必须向纳税人、扣缴义务人开付清单，并在3个月内完整退还；有特殊情况的，经设区的市、自治州以上税务局局长批准，税务机关可以将纳税人、扣缴义务人当年的账簿、记账凭证、报表和其他有关资料调回检查，但是税务机关必须在30日内退还。</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第八十七条　税务机关行使税收征管法第五十四条第(六)项职权时，应当指定专人负责，凭全国统一格式的检查存款账户许可证明进行，并有责任为被检查人保守秘密。</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lastRenderedPageBreak/>
        <w:t>检查存款账户许可证明，由国家税务总局制定。</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税务机关查询的内容，包括纳税人存款账户余额和资金往来情况。</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第八十八条　依照税收征管法第五十五条规定，税务机关采取税收保全措施的期限一般不得超过6个月；重大案件需要延长的，应当报国家税务总局批准。</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第八十九条　税务机关和税务人员应当依照税收征管法及本细则的规定行使税务检查职权。</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人员进行税务检查时，应当出示税务检查证和税务检查通知书；无税务检查证和税务检查通知书的，纳税人、扣缴义务人及其他当事人有权拒绝检查。税务机关对集贸市场及集中经营业户进行检查时，可以使用统一的税务检查通知书。</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税务检查证和税务检查通知书的式样、使用和管理的具体办法，由国家税务总局制定。</w:t>
      </w:r>
    </w:p>
    <w:p w:rsidR="006A2286" w:rsidRPr="00586DFB" w:rsidRDefault="00677915">
      <w:pPr>
        <w:pStyle w:val="2"/>
        <w:rPr>
          <w:rFonts w:ascii="方正黑体_GBK"/>
          <w:sz w:val="28"/>
          <w:szCs w:val="28"/>
        </w:rPr>
      </w:pPr>
      <w:r w:rsidRPr="00586DFB">
        <w:rPr>
          <w:rFonts w:ascii="方正黑体_GBK" w:hAnsi="Times New Roman" w:cs="Times New Roman" w:hint="eastAsia"/>
          <w:sz w:val="28"/>
          <w:szCs w:val="28"/>
        </w:rPr>
        <w:t>第七章　法律责任</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第九十条　纳税人未按照规定办理税务登记证件验证或者换证手续的，由税务机关责令限期改正，可以处2000元以下的罚款；情节严重的，处2000元以上1万元以下的罚款。</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第九十一条　非法印制、转借、倒卖、变造或者伪造完税凭证的，由税务机关责令改正，处2000元以上1万元以下的罚款；情节严重的，处1万元以上5万元以下的罚款；构成犯罪的，依法追究刑事责任。</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第九十二条　银行和其他金融机构未依照税收征管法的规定在从事生产、经营的纳税人的账户中登录税务登记证件号码，或者未按规定在税务登记证件中登</w:t>
      </w:r>
      <w:r w:rsidRPr="00586DFB">
        <w:rPr>
          <w:rFonts w:ascii="Kaiti SC" w:eastAsia="Kaiti SC" w:hAnsi="Kaiti SC" w:cs="Times New Roman"/>
          <w:sz w:val="24"/>
          <w:szCs w:val="24"/>
        </w:rPr>
        <w:lastRenderedPageBreak/>
        <w:t>录从事生产、经营的纳税人的账户账号的，由税务机关责令其限期改正，处2000元以上2万元以下的罚款；情节严重的，处2万元以上5万元以下的罚款。</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第九十三条　为纳税人、扣缴义务人非法提供银行账户、发票、证明或者其他方便，导致未缴、少缴税款或者骗取国家出口退税款的，税务机关除没收其违法所得外，可以处未缴、少缴或者骗取的税款1倍以下的罚款。</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第九十四条　纳税人拒绝代扣、代收税款的，扣缴义务人应当向税务机关报告，由税务机关直接向纳税人追缴税款、滞纳金；纳税人拒不缴纳的，依照税收征管法第六十八条的规定执行。</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第九十五条　税务机关依照税收征管法第五十四条第(五)项的规定，到车站、码头、机场、邮政企业及其分支机构检查纳税人有关情况时，有关单位拒绝的，由税务机关责令改正，可以处1万元以下的罚款；情节严重的，处1万元以上5万元以下的罚款。</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第九十六条　纳税人、扣缴义务人有下列情形之一的，依照税收征管法第七十条的规定处罚：</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(一)提供虚假资料，不如实反映情况，或者拒绝提供有关资料的；</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(二)拒绝或者阻止税务机关记录、录音、录像、照相和复制与案件有关的情况和资料的；</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(三)在检查期间，纳税人、扣缴义务人转移、隐匿、销毁有关资料的；</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(四)有不依法接受税务检查的其他情形的。</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第九十七条　税务人员私分扣押、查封的商品、货物或者其他财产，情节严重，构成犯罪的，依法追究刑事责任；尚不构成犯罪的，依法给予行政处分。</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第九十八条　税务代理人违反税收法律、行政法规，造成纳税人未缴或者少</w:t>
      </w:r>
      <w:r w:rsidRPr="00586DFB">
        <w:rPr>
          <w:rFonts w:ascii="Kaiti SC" w:eastAsia="Kaiti SC" w:hAnsi="Kaiti SC" w:cs="Times New Roman"/>
          <w:sz w:val="24"/>
          <w:szCs w:val="24"/>
        </w:rPr>
        <w:lastRenderedPageBreak/>
        <w:t>缴税款的，除由纳税人缴纳或者补缴应纳税款、滞纳金外，对税务代理人处纳税人未缴或者少缴税款50%以上3倍以下的罚款。</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第九十九条　税务机关对纳税人、扣缴义务人及其他当事人处以罚款或者没收违法所得时，应当开付罚没凭证；未开付罚没凭证的，纳税人、扣缴义务人以及其他当事人有权拒绝给付。</w:t>
      </w:r>
    </w:p>
    <w:p w:rsidR="006A2286" w:rsidRPr="00586DFB" w:rsidRDefault="00677915">
      <w:pPr>
        <w:pStyle w:val="a3"/>
        <w:ind w:firstLineChars="200" w:firstLine="480"/>
        <w:rPr>
          <w:rFonts w:ascii="Kaiti SC" w:eastAsia="Kaiti SC" w:hAnsi="Kaiti SC" w:cs="Times New Roman"/>
          <w:sz w:val="24"/>
          <w:szCs w:val="24"/>
        </w:rPr>
      </w:pPr>
      <w:r w:rsidRPr="00586DFB">
        <w:rPr>
          <w:rFonts w:ascii="Kaiti SC" w:eastAsia="Kaiti SC" w:hAnsi="Kaiti SC" w:cs="Times New Roman"/>
          <w:sz w:val="24"/>
          <w:szCs w:val="24"/>
        </w:rPr>
        <w:t>第一百条　税收征管法第八十八条规定的</w:t>
      </w:r>
      <w:r w:rsidRPr="00586DFB">
        <w:rPr>
          <w:rFonts w:ascii="Kaiti SC" w:eastAsia="Kaiti SC" w:hAnsi="Kaiti SC" w:cs="Times New Roman"/>
          <w:color w:val="FF0000"/>
          <w:sz w:val="24"/>
          <w:szCs w:val="24"/>
        </w:rPr>
        <w:t>纳税争议，</w:t>
      </w:r>
      <w:r w:rsidRPr="00586DFB">
        <w:rPr>
          <w:rFonts w:ascii="Kaiti SC" w:eastAsia="Kaiti SC" w:hAnsi="Kaiti SC" w:cs="Times New Roman"/>
          <w:sz w:val="24"/>
          <w:szCs w:val="24"/>
        </w:rPr>
        <w:t>是指纳税人、扣缴义务人、纳税担保人对税务机关确定纳税主体、征税对象、征税范围、减税、免税及退税、适用税率、计税依据、纳税环节、纳税期限、纳税地点以及税款征收方式等具体行政行为有异议而发生的争议。</w:t>
      </w:r>
    </w:p>
    <w:p w:rsidR="006A2286" w:rsidRPr="006E4419" w:rsidRDefault="00677915">
      <w:pPr>
        <w:pStyle w:val="2"/>
        <w:rPr>
          <w:rFonts w:ascii="方正黑体_GBK"/>
          <w:sz w:val="28"/>
          <w:szCs w:val="28"/>
        </w:rPr>
      </w:pPr>
      <w:r w:rsidRPr="006E4419">
        <w:rPr>
          <w:rFonts w:ascii="方正黑体_GBK" w:hAnsi="Times New Roman" w:cs="Times New Roman" w:hint="eastAsia"/>
          <w:sz w:val="28"/>
          <w:szCs w:val="28"/>
        </w:rPr>
        <w:t>第八章　文书送达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第一百零一条　税务机关送达税务文书，应当直接送交受送达人。</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受送达人是公民的，应当由本人直接签收；本人不在的，交其同住成年家属签收。</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受送达人是法人或者其他组织的，应当由法人的法定代表人、其他组织的主要负责人或者该法人、组织的财务负责人、负责收件的人签收。受送达人有代理人的，可以送交其代理人签收。</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第一百零二条　送达税务文书应当有送达回证，并由受送达人或者本细则规定的其他签收人在送达回证上记明收到日期，签名或者盖章，即为送达。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第一百零三条　受送达人或者本细则规定的其他签收人拒绝签收税务文书的，送达人应当在送达回证上记明拒收理由和日期，并由送达人和见证人签名或者盖章，将税务文书留在受送达人处，即视为送达。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lastRenderedPageBreak/>
        <w:t>第一百零四条　直接送达税务文书有困难的，可以委托其他有关机关或者其他单位代为送达，或者邮寄送达。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第一百零五条　直接或者委托送达税务文书的，以签收人或者见证人在送达回证上的签收或者注明的收件日期为送达日期；邮寄送达的，以挂号函件回执上注明的收件日期为送达日期，并视为已送达。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第一百零六条　有下列情形之一的，税务机关可以公告送达税务文书，自公告之日起满30日，即视为送达：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(一)同一送达事项的受送达人众多；</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(二)采用本章规定的其他送达方式无法送达。</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第一百零七条　税务文书的格式由国家税务总局制定。本细则所称</w:t>
      </w:r>
      <w:r w:rsidRPr="006E4419">
        <w:rPr>
          <w:rFonts w:ascii="Kaiti SC" w:eastAsia="Kaiti SC" w:hAnsi="Kaiti SC" w:cs="Times New Roman"/>
          <w:color w:val="FF0000"/>
          <w:sz w:val="24"/>
          <w:szCs w:val="24"/>
        </w:rPr>
        <w:t>税务文书，</w:t>
      </w:r>
      <w:r w:rsidRPr="006E4419">
        <w:rPr>
          <w:rFonts w:ascii="Kaiti SC" w:eastAsia="Kaiti SC" w:hAnsi="Kaiti SC" w:cs="Times New Roman"/>
          <w:sz w:val="24"/>
          <w:szCs w:val="24"/>
        </w:rPr>
        <w:t>包括：</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(一)税务事项通知书；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(二)责令限期改正通知书；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(三)税收保全措施决定书；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(四)税收强制执行决定书；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(五)税务检查通知书；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(六)税务处理决定书；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(七)税务行政处罚决定书；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(八)行政复议决定书；</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(九)其他税务文书。</w:t>
      </w:r>
    </w:p>
    <w:p w:rsidR="006A2286" w:rsidRPr="006E4419" w:rsidRDefault="00677915">
      <w:pPr>
        <w:pStyle w:val="2"/>
        <w:rPr>
          <w:rFonts w:ascii="方正黑体_GBK"/>
          <w:sz w:val="28"/>
          <w:szCs w:val="28"/>
        </w:rPr>
      </w:pPr>
      <w:r w:rsidRPr="006E4419">
        <w:rPr>
          <w:rFonts w:ascii="方正黑体_GBK" w:hAnsi="Times New Roman" w:cs="Times New Roman" w:hint="eastAsia"/>
          <w:sz w:val="28"/>
          <w:szCs w:val="28"/>
        </w:rPr>
        <w:lastRenderedPageBreak/>
        <w:t>第九章　附则</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第一百零八条　税收征管法及本细则所称“以上”、“以下”、“日内”、“届满”均含本数。</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第一百零九条　税收征管法及本细则所规定期限的最后一日是法定休假日的，以休假日期满的次日为期限的最后一日；在期限内有连续3日以上法定休假日的，按休假日天数顺延。</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第一百一十条　税收征管法第三十条第三款规定的代扣、代收手续费，纳入预算管理，由税务机关依照法律、行政法规的规定付给扣缴义务人。</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第一百一十一条　纳税人、扣缴义务人委托税务代理人代为办理税务事宜的办法，由国家税务总局规定。</w:t>
      </w:r>
    </w:p>
    <w:p w:rsidR="006A2286" w:rsidRPr="006E4419" w:rsidRDefault="00677915">
      <w:pPr>
        <w:pStyle w:val="a3"/>
        <w:ind w:firstLineChars="200" w:firstLine="480"/>
        <w:rPr>
          <w:rFonts w:ascii="Kaiti SC" w:eastAsia="Kaiti SC" w:hAnsi="Kaiti SC" w:cs="Times New Roman"/>
          <w:sz w:val="24"/>
          <w:szCs w:val="24"/>
        </w:rPr>
      </w:pPr>
      <w:r w:rsidRPr="006E4419">
        <w:rPr>
          <w:rFonts w:ascii="Kaiti SC" w:eastAsia="Kaiti SC" w:hAnsi="Kaiti SC" w:cs="Times New Roman"/>
          <w:sz w:val="24"/>
          <w:szCs w:val="24"/>
        </w:rPr>
        <w:t>第一百一十二条　耕地占用税、契税、农业税、牧业税的征收管理，按照国务院的有关规定执行。</w:t>
      </w:r>
      <w:bookmarkStart w:id="0" w:name="_GoBack"/>
      <w:bookmarkEnd w:id="0"/>
    </w:p>
    <w:p w:rsidR="006A2286" w:rsidRPr="006E4419" w:rsidRDefault="00677915">
      <w:pPr>
        <w:ind w:firstLineChars="200" w:firstLine="480"/>
        <w:rPr>
          <w:rFonts w:ascii="Kaiti SC" w:eastAsia="Kaiti SC" w:hAnsi="Kaiti SC"/>
          <w:sz w:val="24"/>
          <w:szCs w:val="24"/>
        </w:rPr>
      </w:pPr>
      <w:r w:rsidRPr="006E4419">
        <w:rPr>
          <w:rFonts w:ascii="Kaiti SC" w:eastAsia="Kaiti SC" w:hAnsi="Kaiti SC" w:cs="Times New Roman"/>
          <w:sz w:val="24"/>
          <w:szCs w:val="24"/>
        </w:rPr>
        <w:t>第一百一十三条　本细则自2002年10月15日起施行。1993年8月4日国务院发布的《中华人民共和国税收征收管理法实施细则》同时废止。</w:t>
      </w:r>
    </w:p>
    <w:sectPr w:rsidR="006A2286" w:rsidRPr="006E441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02" w:rsidRDefault="009A4D02">
      <w:r>
        <w:separator/>
      </w:r>
    </w:p>
  </w:endnote>
  <w:endnote w:type="continuationSeparator" w:id="0">
    <w:p w:rsidR="009A4D02" w:rsidRDefault="009A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方正黑体_GBK">
    <w:altName w:val="微软雅黑"/>
    <w:panose1 w:val="020B0604020202020204"/>
    <w:charset w:val="86"/>
    <w:family w:val="script"/>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286" w:rsidRDefault="009A4D02">
    <w:pPr>
      <w:pStyle w:val="a4"/>
    </w:pPr>
    <w:r>
      <w:rPr>
        <w:noProof/>
      </w:rPr>
      <w:pict w14:anchorId="42EEA9DA">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6A2286" w:rsidRDefault="00677915">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02" w:rsidRDefault="009A4D02">
      <w:r>
        <w:separator/>
      </w:r>
    </w:p>
  </w:footnote>
  <w:footnote w:type="continuationSeparator" w:id="0">
    <w:p w:rsidR="009A4D02" w:rsidRDefault="009A4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15F2A78"/>
    <w:rsid w:val="00272A3B"/>
    <w:rsid w:val="002D51AE"/>
    <w:rsid w:val="003B0C4C"/>
    <w:rsid w:val="00586DFB"/>
    <w:rsid w:val="00674DE0"/>
    <w:rsid w:val="00677915"/>
    <w:rsid w:val="006A2286"/>
    <w:rsid w:val="006E4419"/>
    <w:rsid w:val="007563AA"/>
    <w:rsid w:val="00767307"/>
    <w:rsid w:val="0083029A"/>
    <w:rsid w:val="00995195"/>
    <w:rsid w:val="009A4D02"/>
    <w:rsid w:val="00D84C92"/>
    <w:rsid w:val="00EF4B21"/>
    <w:rsid w:val="015F2A78"/>
    <w:rsid w:val="02131245"/>
    <w:rsid w:val="38A162AD"/>
    <w:rsid w:val="38FB3EBF"/>
    <w:rsid w:val="3D0A222F"/>
    <w:rsid w:val="60B3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CAD4FA"/>
  <w15:docId w15:val="{D7374A4A-1A7F-464F-8751-07311BC8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unhideWhenUsed/>
    <w:qFormat/>
    <w:pPr>
      <w:keepNext/>
      <w:keepLines/>
      <w:spacing w:before="260" w:after="260" w:line="416" w:lineRule="auto"/>
      <w:jc w:val="center"/>
      <w:outlineLvl w:val="1"/>
    </w:pPr>
    <w:rPr>
      <w:rFonts w:asciiTheme="majorHAnsi" w:eastAsia="方正黑体_GBK"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23</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4</cp:revision>
  <cp:lastPrinted>2019-05-25T01:14:00Z</cp:lastPrinted>
  <dcterms:created xsi:type="dcterms:W3CDTF">2024-09-26T09:05:00Z</dcterms:created>
  <dcterms:modified xsi:type="dcterms:W3CDTF">2024-09-27T02:18:00Z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