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2F7" w:rsidRDefault="009F3D49" w:rsidP="002722F7">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9F3D49" w:rsidRPr="0023521B" w:rsidRDefault="009F3D49" w:rsidP="002722F7">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关于人民法院民事执行中拍卖、变卖财产的规定</w:t>
      </w:r>
    </w:p>
    <w:p w:rsidR="009F3D49" w:rsidRPr="002722F7" w:rsidRDefault="009F3D49" w:rsidP="009F3D49">
      <w:pPr>
        <w:pStyle w:val="a3"/>
        <w:spacing w:line="520" w:lineRule="exact"/>
        <w:jc w:val="center"/>
        <w:rPr>
          <w:rFonts w:ascii="仿宋_GB2312" w:eastAsia="仿宋_GB2312" w:hAnsi="宋体" w:cs="宋体"/>
          <w:sz w:val="18"/>
          <w:szCs w:val="18"/>
        </w:rPr>
      </w:pPr>
      <w:r w:rsidRPr="002722F7">
        <w:rPr>
          <w:rFonts w:ascii="仿宋_GB2312" w:eastAsia="仿宋_GB2312" w:hAnsi="宋体" w:cs="宋体" w:hint="eastAsia"/>
          <w:sz w:val="18"/>
          <w:szCs w:val="18"/>
        </w:rPr>
        <w:t>（2004年10月26日最高人民法院审判委员会第1330次会议通过，根据2020年12月23日最高人民法院审判委员会第1823次会议通过的《最高人民法院关于修改〈最高人民法院关于人民法院扣押铁路运输货物若干问题的规定〉等十八件执行类司法解释的决定》修正）</w:t>
      </w:r>
    </w:p>
    <w:p w:rsidR="009F3D49" w:rsidRPr="002722F7" w:rsidRDefault="007B1861"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w:t>
      </w:r>
      <w:r w:rsidR="009F3D49" w:rsidRPr="002722F7">
        <w:rPr>
          <w:rFonts w:ascii="Kaiti SC" w:eastAsia="Kaiti SC" w:hAnsi="Kaiti SC" w:cs="宋体" w:hint="eastAsia"/>
          <w:sz w:val="24"/>
          <w:szCs w:val="24"/>
        </w:rPr>
        <w:t>为了进一步规范民事执行中的拍卖、变卖措施，维护当事人的合法权益，根据《中华人民共和国民事诉讼法》等法律的规定，结合人民法院民事执行工作的实践经验，制定本规定。</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第一条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在执行程序中，被执行人的财产被查封、扣押、冻结后，人民法院应当及时进行拍卖、变卖或者采取其他执行措施。</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第二条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人民法院对查封、扣押、冻结的财产进行变价处理时，应当首先采取拍卖的方式，但法律、司法解释另有规定的除外。</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第三条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人民法院拍卖被执行人财产，应当委托具有相应资质的拍卖机构进行，并对拍卖机构的拍卖进行监督，但法律、司法解释另有规定的除外。</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第四条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对拟拍卖的财产，人民法院可以委托具有相应资质的评估机构进行价格评估。对于财产价值较低或者价格依照通常方法容易确定的，可以不进行评估。</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当事人双方及其他执行债权人申请不进行评估的，人民法院应当准许。</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对被执行人的股权进行评估时，人民法院可以责令有关企业提供会计报表等资料；有关企业拒不提供的，可以强制提取。</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第五条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拍卖应当确定保留价。</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拍卖财产经过评估的，评估价即为第一次拍卖的保留价；未作评估的，保留价由人民法院参照市价确定，并应当征询有关当事人的意见。</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如果出现流拍，再行拍卖时，可以酌情降低保留价，但每次降低的数额不得超过前次保留价的百分之二十。</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第六条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保留价确定后，依据本次拍卖保留价计算，拍卖所得价款在清偿优</w:t>
      </w:r>
      <w:r w:rsidRPr="002722F7">
        <w:rPr>
          <w:rFonts w:ascii="Kaiti SC" w:eastAsia="Kaiti SC" w:hAnsi="Kaiti SC" w:cs="宋体" w:hint="eastAsia"/>
          <w:sz w:val="24"/>
          <w:szCs w:val="24"/>
        </w:rPr>
        <w:lastRenderedPageBreak/>
        <w:t>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依照前款规定流拍的，拍卖费用由申请执行人负担。</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第七条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执行人员应当对拍卖财产的权属状况、占有使用情况等进行必要的调查，制作拍卖财产现状的调查笔录或者收集其他有关资料。</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第八条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拍卖应当先期公告。</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拍卖动产的，应当在拍卖七日前公告；拍卖不动产或者其他财产权的，应当在拍卖十五日前公告。</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第九条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拍卖公告的范围及媒体由当事人双方协商确定；协商不成的，由人民法院确定。拍卖财产具有专业属性的，应当同时在专业性报纸上进行公告。</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当事人申请在其他新闻媒体上公告或者要求扩大公告范围的，应当准许，但该部分的公告费用由其自行承担。</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不动产、其他财产权或者价值较高的动产的，竞买人应当于拍卖前向人民法院预交保证金。申请执行人参加竞买的，可以不预交保证金。保证金的数额由人民法院确定，但不得低于评估价或者市价的百分之五。</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应当预交保证金而未交纳的，不得参加竞买。拍卖成交后，买受人预交的保证金充抵价款，其他竞买人预交的保证金应当在三日内退还；拍卖未成交的，保证金应当于三日内退还竞买人。</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第十一条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人民法院应当在拍卖五日前以书面或者其他能够确认收悉的适当方式，通知当事人和已知的担保物权人、优先购买权人或者其他优先权人于拍卖日到场。</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优先购买权人经通知未到场的，视为放弃优先购买权。</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第十二条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法律、行政法规对买受人的资格或者条件有特殊规定的，竞买人应当具备规定的资格或者条件。</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lastRenderedPageBreak/>
        <w:t xml:space="preserve">　　申请执行人、被执行人可以参加竞买。</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第十三条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拍卖过程中，有最高应价时，优先购买权人可以表示以该最高价买受，如无更高应价，则拍归优先购买权人；如有更高应价，而优先购买权人不作表示的，则拍归该应价最高的竞买人。</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顺序相同的多个优先购买权人同时表示买受的，以抽签方式决定买受人。</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第十四条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拍卖多项财产时，其中部分财产卖得的价款足以清偿债务和支付被执行人应当负担的费用的，对剩余的财产应当停止拍卖，但被执行人同意全部拍卖的除外。</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第十五条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拍卖的多项财产在使用上不可分，或者分别拍卖可能严重减损其价值的，应当合并拍卖。</w:t>
      </w:r>
    </w:p>
    <w:p w:rsidR="009F3D49" w:rsidRPr="002722F7" w:rsidRDefault="009F3D49" w:rsidP="009F3D49">
      <w:pPr>
        <w:pStyle w:val="a3"/>
        <w:spacing w:line="520" w:lineRule="exact"/>
        <w:rPr>
          <w:rFonts w:ascii="Kaiti SC" w:eastAsia="Kaiti SC" w:hAnsi="Kaiti SC" w:cs="宋体"/>
          <w:sz w:val="24"/>
          <w:szCs w:val="24"/>
        </w:rPr>
      </w:pPr>
      <w:r w:rsidRPr="002722F7">
        <w:rPr>
          <w:rFonts w:ascii="Kaiti SC" w:eastAsia="Kaiti SC" w:hAnsi="Kaiti SC" w:cs="宋体" w:hint="eastAsia"/>
          <w:sz w:val="24"/>
          <w:szCs w:val="24"/>
        </w:rPr>
        <w:t xml:space="preserve">　　第十六条</w:t>
      </w:r>
      <w:r w:rsidR="007B1861" w:rsidRPr="002722F7">
        <w:rPr>
          <w:rFonts w:ascii="Kaiti SC" w:eastAsia="Kaiti SC" w:hAnsi="Kaiti SC" w:cs="宋体" w:hint="eastAsia"/>
          <w:sz w:val="24"/>
          <w:szCs w:val="24"/>
        </w:rPr>
        <w:t xml:space="preserve">　</w:t>
      </w:r>
      <w:r w:rsidRPr="002722F7">
        <w:rPr>
          <w:rFonts w:ascii="Kaiti SC" w:eastAsia="Kaiti SC" w:hAnsi="Kaiti SC" w:cs="宋体" w:hint="eastAsia"/>
          <w:sz w:val="24"/>
          <w:szCs w:val="24"/>
        </w:rPr>
        <w:t>拍卖时无人竞买或者竞买人的最高应价低于保留价，到场的申请执行人或者其他执行债权人申请或者同意以该次拍卖所定的保留价接受拍卖财产的，应当将该财产交其抵债。</w:t>
      </w:r>
    </w:p>
    <w:p w:rsidR="009F3D49" w:rsidRPr="00B171A3" w:rsidRDefault="009F3D49" w:rsidP="009F3D49">
      <w:pPr>
        <w:pStyle w:val="a3"/>
        <w:spacing w:line="520" w:lineRule="exact"/>
        <w:rPr>
          <w:rFonts w:ascii="Kaiti SC" w:eastAsia="Kaiti SC" w:hAnsi="Kaiti SC" w:cs="宋体" w:hint="eastAsia"/>
          <w:sz w:val="24"/>
          <w:szCs w:val="24"/>
        </w:rPr>
      </w:pPr>
      <w:r w:rsidRPr="002722F7">
        <w:rPr>
          <w:rFonts w:ascii="Kaiti SC" w:eastAsia="Kaiti SC" w:hAnsi="Kaiti SC" w:cs="宋体" w:hint="eastAsia"/>
          <w:sz w:val="24"/>
          <w:szCs w:val="24"/>
        </w:rPr>
        <w:t xml:space="preserve">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第十七条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在拍卖开始前，有下列情形之一的，人民法院应当撤回拍卖委托：</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（一）据以执行的生效法律文书被撤销的；</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（二）申请执行人及其他执行债权人撤回执行申请的；</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（三）被执行人全部履行了法律文书确定的金钱债务的；</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（四）当事人达成了执行和解协议，不需要拍卖财产的；</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（五）案外人对拍卖财产提出确有理由的异议的；</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（六）拍卖机构与竞买人恶意串通的；</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（七）其他应当撤回拍卖委托的情形。</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第十八条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人民法院委托拍卖后，遇有依法应当暂缓执行或者中止执行的情形的，应当决定暂缓执行或者裁定中止执行，并及时通知拍卖机构和当事人。拍</w:t>
      </w:r>
      <w:r w:rsidRPr="00B171A3">
        <w:rPr>
          <w:rFonts w:ascii="Kaiti SC" w:eastAsia="Kaiti SC" w:hAnsi="Kaiti SC" w:cs="宋体" w:hint="eastAsia"/>
          <w:sz w:val="24"/>
          <w:szCs w:val="24"/>
        </w:rPr>
        <w:lastRenderedPageBreak/>
        <w:t>卖机构收到通知后，应当立即停止拍卖，并通知竞买人。</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暂缓执行期限届满或者中止执行的事由消失后，需要继续拍卖的，人民法院应当在十五日内通知拍卖机构恢复拍卖。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第十九条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被执行人在拍卖日之前向人民法院提交足额金钱清偿债务，要求停止拍卖的，人民法院应当准许，但被执行人应当负担因拍卖支出的必要费用。</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拍卖成交或者以流拍的财产抵债的，人民法院应当作出裁定，并于价款或者需要补交的差价全额交付后十日内，送达买受人或者承受人。</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第二十一条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拍卖成交后，买受人应当在拍卖公告确定的期限或者人民法院指定的期限内将价款交付到人民法院或者汇入人民法院指定的账户。</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第二十二条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拍卖成交或者以流拍的财产抵债后，买受人逾期未支付价款或者承受人逾期未补交差价而使拍卖、抵债的目的难以实现的，人民法院可以裁定重新拍卖。重新拍卖时，原买受人不得参加竞买。</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第二十三条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拍卖时无人竞买或者竞买人的最高应价低于保留价，到场的申请执行人或者其他执行债权人不申请以该次拍卖所定的保留价抵债的，应当在六十日内再行拍卖。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第二十四条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对于第二次拍卖仍流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第二十五条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对于第二次拍卖仍流拍的不动产或者其他财产权，人民法院可以依照本规定第十六条的规定将其作价交申请执行人或者其他执行债权人抵债。申请执行人或者其他执行债权人拒绝接受或者依法不能交付其抵债的，应当在六</w:t>
      </w:r>
      <w:r w:rsidRPr="00B171A3">
        <w:rPr>
          <w:rFonts w:ascii="Kaiti SC" w:eastAsia="Kaiti SC" w:hAnsi="Kaiti SC" w:cs="宋体" w:hint="eastAsia"/>
          <w:sz w:val="24"/>
          <w:szCs w:val="24"/>
        </w:rPr>
        <w:lastRenderedPageBreak/>
        <w:t>十日内进行第三次拍卖。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第二十六条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不动产、动产或者其他财产权拍卖成交或者抵债后，该不动产、动产的所有权、其他财产权自拍卖成交或者抵债裁定送达买受人或者承受人时起转移。</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第二十七条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人民法院裁定拍卖成交或者以流拍的财产抵债后，除有依法不能移交的情形外，应当于裁定送达后十五日内，将拍卖的财产移交买受人或者承受人。被执行人或者第三人占有拍卖财产应当移交而拒不移交的，强制执行。</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第二十八条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拍卖财产上原有的担保物权及其他优先受偿权，因拍卖而消灭，拍卖所得价款，应当优先清偿担保物权人及其他优先受偿权人的债权，但当事人另有约定的除外。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拍卖财产上原有的租赁权及其他用益物权，不因拍卖而消灭，但该权利继续存在于拍卖财产上，对在先的担保物权或者其他优先受偿权的实现有影响的，人民法院应当依法将其除去后进行拍卖。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第二十九条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拍卖成交的，拍卖机构可以按照下列比例向买受人收取佣金：</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拍卖成交价200万元以下的，收取佣金的比例不得超过5％；超过200万元至1000万元的部分，不得超过3％；超过1000万元至5000万元的部分，不得超过2％；超过5000万元至1亿元的部分，不得超过1％；超过1亿元的部分，不得超过0.5％。</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采取公开招标方式确定拍卖机构的，按照中标方案确定的数额收取佣金。</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拍卖未成交或者非因拍卖机构的原因撤回拍卖委托的，拍卖机构为本次拍卖</w:t>
      </w:r>
      <w:r w:rsidRPr="00B171A3">
        <w:rPr>
          <w:rFonts w:ascii="Kaiti SC" w:eastAsia="Kaiti SC" w:hAnsi="Kaiti SC" w:cs="宋体" w:hint="eastAsia"/>
          <w:sz w:val="24"/>
          <w:szCs w:val="24"/>
        </w:rPr>
        <w:lastRenderedPageBreak/>
        <w:t>已经支出的合理费用，应当由被执行人负担。</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第三十条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在执行程序中拍卖上市公司国有股和社会法人股的，适用最高人民法院《关于冻结、拍卖上市公司国有股和社会法人股若干问题的规定》。</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第三十一条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对查封、扣押、冻结的财产，当事人双方及有关权利人同意变卖的，可以变卖。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金银及其制品、当地市场有公开交易价格的动产、易腐烂变质的物品、季节性商品、保管困难或者保管费用过高的物品，人民法院可以决定变卖。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第三十二条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按照评估价格变卖不成的，可以降低价格变卖，但最低的变卖价不得低于评估价的二分之一。</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变卖的财产无人应买的，适用本规定第十六条的规定将该财</w:t>
      </w:r>
      <w:bookmarkStart w:id="0" w:name="_GoBack"/>
      <w:bookmarkEnd w:id="0"/>
      <w:r w:rsidRPr="00B171A3">
        <w:rPr>
          <w:rFonts w:ascii="Kaiti SC" w:eastAsia="Kaiti SC" w:hAnsi="Kaiti SC" w:cs="宋体" w:hint="eastAsia"/>
          <w:sz w:val="24"/>
          <w:szCs w:val="24"/>
        </w:rPr>
        <w:t>产交申请执行人或者其他执行债权人抵债；申请执行人或者其他执行债权人拒绝接受或者依法不能交付其抵债的，人民法院应当解除查封、扣押，并将该财产退还被执行人。</w:t>
      </w:r>
    </w:p>
    <w:p w:rsidR="009F3D49" w:rsidRPr="00B171A3" w:rsidRDefault="009F3D49" w:rsidP="009F3D49">
      <w:pPr>
        <w:pStyle w:val="a3"/>
        <w:spacing w:line="520" w:lineRule="exact"/>
        <w:rPr>
          <w:rFonts w:ascii="Kaiti SC" w:eastAsia="Kaiti SC" w:hAnsi="Kaiti SC" w:cs="宋体"/>
          <w:sz w:val="24"/>
          <w:szCs w:val="24"/>
        </w:rPr>
      </w:pPr>
      <w:r w:rsidRPr="00B171A3">
        <w:rPr>
          <w:rFonts w:ascii="Kaiti SC" w:eastAsia="Kaiti SC" w:hAnsi="Kaiti SC" w:cs="宋体" w:hint="eastAsia"/>
          <w:sz w:val="24"/>
          <w:szCs w:val="24"/>
        </w:rPr>
        <w:t xml:space="preserve">　　第三十三条</w:t>
      </w:r>
      <w:r w:rsidR="007B1861" w:rsidRPr="00B171A3">
        <w:rPr>
          <w:rFonts w:ascii="Kaiti SC" w:eastAsia="Kaiti SC" w:hAnsi="Kaiti SC" w:cs="宋体" w:hint="eastAsia"/>
          <w:sz w:val="24"/>
          <w:szCs w:val="24"/>
        </w:rPr>
        <w:t xml:space="preserve">　</w:t>
      </w:r>
      <w:r w:rsidRPr="00B171A3">
        <w:rPr>
          <w:rFonts w:ascii="Kaiti SC" w:eastAsia="Kaiti SC" w:hAnsi="Kaiti SC" w:cs="宋体" w:hint="eastAsia"/>
          <w:sz w:val="24"/>
          <w:szCs w:val="24"/>
        </w:rPr>
        <w:t>本规定自2005年1月1日起施行。施行前本院公布的司法解释与本规定不一致的，以本规定为准。</w:t>
      </w:r>
    </w:p>
    <w:p w:rsidR="00D81223" w:rsidRPr="00B171A3" w:rsidRDefault="00D81223" w:rsidP="009F3D49">
      <w:pPr>
        <w:rPr>
          <w:rFonts w:ascii="Kaiti SC" w:eastAsia="Kaiti SC" w:hAnsi="Kaiti SC"/>
          <w:sz w:val="24"/>
        </w:rPr>
      </w:pPr>
    </w:p>
    <w:sectPr w:rsidR="00D81223" w:rsidRPr="00B171A3"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5B2" w:rsidRDefault="009B15B2">
      <w:r>
        <w:separator/>
      </w:r>
    </w:p>
  </w:endnote>
  <w:endnote w:type="continuationSeparator" w:id="0">
    <w:p w:rsidR="009B15B2" w:rsidRDefault="009B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B36EA5"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B36EA5"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7B1861">
      <w:rPr>
        <w:rStyle w:val="a6"/>
        <w:noProof/>
      </w:rPr>
      <w:t>6</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5B2" w:rsidRDefault="009B15B2">
      <w:r>
        <w:separator/>
      </w:r>
    </w:p>
  </w:footnote>
  <w:footnote w:type="continuationSeparator" w:id="0">
    <w:p w:rsidR="009B15B2" w:rsidRDefault="009B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35F77"/>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22F7"/>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A0D40"/>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A7D6B"/>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1861"/>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15B2"/>
    <w:rsid w:val="009B548C"/>
    <w:rsid w:val="009D18B6"/>
    <w:rsid w:val="009E6F62"/>
    <w:rsid w:val="009E7F86"/>
    <w:rsid w:val="009F1030"/>
    <w:rsid w:val="009F1B6D"/>
    <w:rsid w:val="009F3D49"/>
    <w:rsid w:val="00A02039"/>
    <w:rsid w:val="00A04BD7"/>
    <w:rsid w:val="00A131D2"/>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1A3"/>
    <w:rsid w:val="00B17FDC"/>
    <w:rsid w:val="00B22148"/>
    <w:rsid w:val="00B2377E"/>
    <w:rsid w:val="00B25C4D"/>
    <w:rsid w:val="00B32A99"/>
    <w:rsid w:val="00B364E6"/>
    <w:rsid w:val="00B36EA5"/>
    <w:rsid w:val="00B47F03"/>
    <w:rsid w:val="00B55F35"/>
    <w:rsid w:val="00B62010"/>
    <w:rsid w:val="00B6417D"/>
    <w:rsid w:val="00B712AC"/>
    <w:rsid w:val="00B82084"/>
    <w:rsid w:val="00B95E1A"/>
    <w:rsid w:val="00BB42A2"/>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33ACA"/>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1E5BE"/>
  <w15:docId w15:val="{97CB9CF7-1682-F043-9C88-86D208C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A5B08-B590-3942-94E9-3A1BC9F9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639</Words>
  <Characters>3643</Characters>
  <Application>Microsoft Office Word</Application>
  <DocSecurity>0</DocSecurity>
  <Lines>30</Lines>
  <Paragraphs>8</Paragraphs>
  <ScaleCrop>false</ScaleCrop>
  <Company>Lenovo (Beijing) Limited</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13</cp:revision>
  <cp:lastPrinted>2014-04-03T09:04:00Z</cp:lastPrinted>
  <dcterms:created xsi:type="dcterms:W3CDTF">2021-03-02T07:01:00Z</dcterms:created>
  <dcterms:modified xsi:type="dcterms:W3CDTF">2024-12-26T10:06:00Z</dcterms:modified>
</cp:coreProperties>
</file>