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8650F4E">
      <w:pPr>
        <w:rPr>
          <w:rFonts w:ascii="Times New Roman" w:hAnsi="Times New Roman" w:eastAsia="宋体" w:cs="宋体"/>
          <w:szCs w:val="32"/>
        </w:rPr>
      </w:pPr>
    </w:p>
    <w:p w14:paraId="4E67CE7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Times New Roman" w:hAnsi="Times New Roman" w:eastAsia="宋体" w:cs="宋体"/>
          <w:szCs w:val="32"/>
        </w:rPr>
      </w:pPr>
      <w:bookmarkStart w:id="0" w:name="中华人民共和国民营经济促进法"/>
      <w:bookmarkEnd w:id="0"/>
      <w:r>
        <w:rPr>
          <w:rFonts w:hint="eastAsia" w:ascii="Kaiti SC Regular" w:hAnsi="Kaiti SC Regular" w:eastAsia="Kaiti SC Regular" w:cs="Kaiti SC Regular"/>
          <w:b w:val="0"/>
          <w:bCs/>
          <w:color w:val="333333"/>
          <w:sz w:val="36"/>
          <w:szCs w:val="36"/>
          <w:shd w:val="clear" w:color="auto" w:fill="FFFFFF"/>
        </w:rPr>
        <w:t>中华人民共和国民营经济促进法</w:t>
      </w:r>
    </w:p>
    <w:p w14:paraId="3AB3256D">
      <w:pPr>
        <w:widowControl/>
        <w:ind w:left="632" w:leftChars="200" w:right="632" w:rightChars="200"/>
        <w:jc w:val="center"/>
        <w:rPr>
          <w:rFonts w:ascii="Times New Roman" w:hAnsi="Times New Roman" w:eastAsia="宋体" w:cs="宋体"/>
          <w:sz w:val="21"/>
          <w:szCs w:val="21"/>
        </w:rPr>
      </w:pPr>
      <w:bookmarkStart w:id="1" w:name="题注"/>
      <w:bookmarkEnd w:id="1"/>
      <w:r>
        <w:rPr>
          <w:rFonts w:hint="eastAsia" w:ascii="Times New Roman" w:hAnsi="Times New Roman" w:eastAsia="楷体_GB2312" w:cs="楷体_GB2312"/>
          <w:bCs/>
          <w:spacing w:val="0"/>
          <w:sz w:val="21"/>
          <w:szCs w:val="21"/>
          <w:shd w:val="clear" w:color="auto" w:fill="FFFFFF"/>
        </w:rPr>
        <w:t>（2025年4月30日第十四届全国人民代表大会常务委员会第十五次会议通过）</w:t>
      </w:r>
    </w:p>
    <w:p w14:paraId="57F2AA95">
      <w:pPr>
        <w:spacing w:line="240" w:lineRule="auto"/>
        <w:ind w:firstLine="0"/>
        <w:jc w:val="center"/>
        <w:rPr>
          <w:rFonts w:hint="eastAsia" w:ascii="楷体" w:hAnsi="楷体" w:eastAsia="楷体" w:cs="楷体"/>
          <w:sz w:val="24"/>
          <w:szCs w:val="24"/>
        </w:rPr>
      </w:pPr>
      <w:bookmarkStart w:id="2" w:name="目录"/>
      <w:bookmarkEnd w:id="2"/>
      <w:r>
        <w:rPr>
          <w:rFonts w:hint="eastAsia" w:ascii="楷体" w:hAnsi="楷体" w:eastAsia="楷体" w:cs="楷体"/>
          <w:sz w:val="24"/>
          <w:szCs w:val="24"/>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104" w:leftChars="200" w:right="0" w:rightChars="0" w:hanging="472" w:hangingChars="200"/>
        <w:jc w:val="both"/>
        <w:textAlignment w:val="auto"/>
        <w:rPr>
          <w:rFonts w:hint="eastAsia" w:ascii="楷体" w:hAnsi="楷体" w:eastAsia="楷体" w:cs="楷体"/>
          <w:sz w:val="24"/>
          <w:szCs w:val="24"/>
        </w:rPr>
      </w:pPr>
      <w:r>
        <w:rPr>
          <w:rFonts w:hint="eastAsia" w:ascii="楷体" w:hAnsi="楷体" w:eastAsia="楷体" w:cs="楷体"/>
          <w:sz w:val="24"/>
          <w:szCs w:val="24"/>
        </w:rPr>
        <w:t>第一章　总　　则</w:t>
      </w:r>
    </w:p>
    <w:p w14:paraId="355113CA">
      <w:pPr>
        <w:keepNext w:val="0"/>
        <w:keepLines w:val="0"/>
        <w:pageBreakBefore w:val="0"/>
        <w:widowControl w:val="0"/>
        <w:kinsoku/>
        <w:wordWrap/>
        <w:overflowPunct/>
        <w:topLinePunct w:val="0"/>
        <w:autoSpaceDE/>
        <w:autoSpaceDN/>
        <w:bidi w:val="0"/>
        <w:adjustRightInd/>
        <w:snapToGrid/>
        <w:spacing w:line="240" w:lineRule="auto"/>
        <w:ind w:left="1104" w:leftChars="200" w:right="0" w:rightChars="0" w:hanging="472" w:hangingChars="200"/>
        <w:jc w:val="both"/>
        <w:textAlignment w:val="auto"/>
        <w:rPr>
          <w:rFonts w:hint="eastAsia" w:ascii="楷体" w:hAnsi="楷体" w:eastAsia="楷体" w:cs="楷体"/>
          <w:sz w:val="24"/>
          <w:szCs w:val="24"/>
        </w:rPr>
      </w:pPr>
      <w:r>
        <w:rPr>
          <w:rFonts w:hint="eastAsia" w:ascii="楷体" w:hAnsi="楷体" w:eastAsia="楷体" w:cs="楷体"/>
          <w:sz w:val="24"/>
          <w:szCs w:val="24"/>
        </w:rPr>
        <w:t>第二章　公平竞争</w:t>
      </w:r>
    </w:p>
    <w:p w14:paraId="17871EFC">
      <w:pPr>
        <w:keepNext w:val="0"/>
        <w:keepLines w:val="0"/>
        <w:pageBreakBefore w:val="0"/>
        <w:widowControl w:val="0"/>
        <w:kinsoku/>
        <w:wordWrap/>
        <w:overflowPunct/>
        <w:topLinePunct w:val="0"/>
        <w:autoSpaceDE/>
        <w:autoSpaceDN/>
        <w:bidi w:val="0"/>
        <w:adjustRightInd/>
        <w:snapToGrid/>
        <w:spacing w:line="240" w:lineRule="auto"/>
        <w:ind w:left="1104" w:leftChars="200" w:right="0" w:rightChars="0" w:hanging="472" w:hangingChars="200"/>
        <w:jc w:val="both"/>
        <w:textAlignment w:val="auto"/>
        <w:rPr>
          <w:rFonts w:hint="eastAsia" w:ascii="楷体" w:hAnsi="楷体" w:eastAsia="楷体" w:cs="楷体"/>
          <w:sz w:val="24"/>
          <w:szCs w:val="24"/>
        </w:rPr>
      </w:pPr>
      <w:r>
        <w:rPr>
          <w:rFonts w:hint="eastAsia" w:ascii="楷体" w:hAnsi="楷体" w:eastAsia="楷体" w:cs="楷体"/>
          <w:sz w:val="24"/>
          <w:szCs w:val="24"/>
        </w:rPr>
        <w:t>第三章　投资融资促进</w:t>
      </w:r>
    </w:p>
    <w:p w14:paraId="06524F4D">
      <w:pPr>
        <w:keepNext w:val="0"/>
        <w:keepLines w:val="0"/>
        <w:pageBreakBefore w:val="0"/>
        <w:widowControl w:val="0"/>
        <w:kinsoku/>
        <w:wordWrap/>
        <w:overflowPunct/>
        <w:topLinePunct w:val="0"/>
        <w:autoSpaceDE/>
        <w:autoSpaceDN/>
        <w:bidi w:val="0"/>
        <w:adjustRightInd/>
        <w:snapToGrid/>
        <w:spacing w:line="240" w:lineRule="auto"/>
        <w:ind w:left="1104" w:leftChars="200" w:right="0" w:rightChars="0" w:hanging="472" w:hangingChars="200"/>
        <w:jc w:val="both"/>
        <w:textAlignment w:val="auto"/>
        <w:rPr>
          <w:rFonts w:hint="eastAsia" w:ascii="楷体" w:hAnsi="楷体" w:eastAsia="楷体" w:cs="楷体"/>
          <w:sz w:val="24"/>
          <w:szCs w:val="24"/>
        </w:rPr>
      </w:pPr>
      <w:r>
        <w:rPr>
          <w:rFonts w:hint="eastAsia" w:ascii="楷体" w:hAnsi="楷体" w:eastAsia="楷体" w:cs="楷体"/>
          <w:sz w:val="24"/>
          <w:szCs w:val="24"/>
        </w:rPr>
        <w:t>第四章　科技创新</w:t>
      </w:r>
    </w:p>
    <w:p w14:paraId="1C618369">
      <w:pPr>
        <w:keepNext w:val="0"/>
        <w:keepLines w:val="0"/>
        <w:pageBreakBefore w:val="0"/>
        <w:widowControl w:val="0"/>
        <w:kinsoku/>
        <w:wordWrap/>
        <w:overflowPunct/>
        <w:topLinePunct w:val="0"/>
        <w:autoSpaceDE/>
        <w:autoSpaceDN/>
        <w:bidi w:val="0"/>
        <w:adjustRightInd/>
        <w:snapToGrid/>
        <w:spacing w:line="240" w:lineRule="auto"/>
        <w:ind w:left="1104" w:leftChars="200" w:right="0" w:rightChars="0" w:hanging="472" w:hangingChars="200"/>
        <w:jc w:val="both"/>
        <w:textAlignment w:val="auto"/>
        <w:rPr>
          <w:rFonts w:hint="eastAsia" w:ascii="楷体" w:hAnsi="楷体" w:eastAsia="楷体" w:cs="楷体"/>
          <w:sz w:val="24"/>
          <w:szCs w:val="24"/>
        </w:rPr>
      </w:pPr>
      <w:r>
        <w:rPr>
          <w:rFonts w:hint="eastAsia" w:ascii="楷体" w:hAnsi="楷体" w:eastAsia="楷体" w:cs="楷体"/>
          <w:sz w:val="24"/>
          <w:szCs w:val="24"/>
        </w:rPr>
        <w:t>第五章　规范经营</w:t>
      </w:r>
    </w:p>
    <w:p w14:paraId="3702F0C7">
      <w:pPr>
        <w:keepNext w:val="0"/>
        <w:keepLines w:val="0"/>
        <w:pageBreakBefore w:val="0"/>
        <w:widowControl w:val="0"/>
        <w:kinsoku/>
        <w:wordWrap/>
        <w:overflowPunct/>
        <w:topLinePunct w:val="0"/>
        <w:autoSpaceDE/>
        <w:autoSpaceDN/>
        <w:bidi w:val="0"/>
        <w:adjustRightInd/>
        <w:snapToGrid/>
        <w:spacing w:line="240" w:lineRule="auto"/>
        <w:ind w:left="1104" w:leftChars="200" w:right="0" w:rightChars="0" w:hanging="472" w:hangingChars="200"/>
        <w:jc w:val="both"/>
        <w:textAlignment w:val="auto"/>
        <w:rPr>
          <w:rFonts w:hint="eastAsia" w:ascii="楷体" w:hAnsi="楷体" w:eastAsia="楷体" w:cs="楷体"/>
          <w:sz w:val="24"/>
          <w:szCs w:val="24"/>
        </w:rPr>
      </w:pPr>
      <w:r>
        <w:rPr>
          <w:rFonts w:hint="eastAsia" w:ascii="楷体" w:hAnsi="楷体" w:eastAsia="楷体" w:cs="楷体"/>
          <w:sz w:val="24"/>
          <w:szCs w:val="24"/>
        </w:rPr>
        <w:t>第六章　服务保障</w:t>
      </w:r>
    </w:p>
    <w:p w14:paraId="70AA34DA">
      <w:pPr>
        <w:keepNext w:val="0"/>
        <w:keepLines w:val="0"/>
        <w:pageBreakBefore w:val="0"/>
        <w:widowControl w:val="0"/>
        <w:kinsoku/>
        <w:wordWrap/>
        <w:overflowPunct/>
        <w:topLinePunct w:val="0"/>
        <w:autoSpaceDE/>
        <w:autoSpaceDN/>
        <w:bidi w:val="0"/>
        <w:adjustRightInd/>
        <w:snapToGrid/>
        <w:spacing w:line="240" w:lineRule="auto"/>
        <w:ind w:left="1104" w:leftChars="200" w:right="0" w:rightChars="0" w:hanging="472" w:hangingChars="200"/>
        <w:jc w:val="both"/>
        <w:textAlignment w:val="auto"/>
        <w:rPr>
          <w:rFonts w:hint="eastAsia" w:ascii="楷体" w:hAnsi="楷体" w:eastAsia="楷体" w:cs="楷体"/>
          <w:sz w:val="24"/>
          <w:szCs w:val="24"/>
        </w:rPr>
      </w:pPr>
      <w:r>
        <w:rPr>
          <w:rFonts w:hint="eastAsia" w:ascii="楷体" w:hAnsi="楷体" w:eastAsia="楷体" w:cs="楷体"/>
          <w:sz w:val="24"/>
          <w:szCs w:val="24"/>
        </w:rPr>
        <w:t>第七章　权益保护</w:t>
      </w:r>
    </w:p>
    <w:p w14:paraId="4BD6A3B3">
      <w:pPr>
        <w:keepNext w:val="0"/>
        <w:keepLines w:val="0"/>
        <w:pageBreakBefore w:val="0"/>
        <w:widowControl w:val="0"/>
        <w:kinsoku/>
        <w:wordWrap/>
        <w:overflowPunct/>
        <w:topLinePunct w:val="0"/>
        <w:autoSpaceDE/>
        <w:autoSpaceDN/>
        <w:bidi w:val="0"/>
        <w:adjustRightInd/>
        <w:snapToGrid/>
        <w:spacing w:line="240" w:lineRule="auto"/>
        <w:ind w:left="1104" w:leftChars="200" w:right="0" w:rightChars="0" w:hanging="472" w:hangingChars="200"/>
        <w:jc w:val="both"/>
        <w:textAlignment w:val="auto"/>
        <w:rPr>
          <w:rFonts w:hint="eastAsia" w:ascii="楷体" w:hAnsi="楷体" w:eastAsia="楷体" w:cs="楷体"/>
          <w:sz w:val="24"/>
          <w:szCs w:val="24"/>
        </w:rPr>
      </w:pPr>
      <w:r>
        <w:rPr>
          <w:rFonts w:hint="eastAsia" w:ascii="楷体" w:hAnsi="楷体" w:eastAsia="楷体" w:cs="楷体"/>
          <w:sz w:val="24"/>
          <w:szCs w:val="24"/>
        </w:rPr>
        <w:t>第八章　法律责任</w:t>
      </w:r>
    </w:p>
    <w:p w14:paraId="6B9A9660">
      <w:pPr>
        <w:keepNext w:val="0"/>
        <w:keepLines w:val="0"/>
        <w:pageBreakBefore w:val="0"/>
        <w:widowControl w:val="0"/>
        <w:kinsoku/>
        <w:wordWrap/>
        <w:overflowPunct/>
        <w:topLinePunct w:val="0"/>
        <w:autoSpaceDE/>
        <w:autoSpaceDN/>
        <w:bidi w:val="0"/>
        <w:adjustRightInd/>
        <w:snapToGrid/>
        <w:spacing w:line="240" w:lineRule="auto"/>
        <w:ind w:left="1104" w:leftChars="200" w:right="0" w:rightChars="0" w:hanging="472" w:hangingChars="200"/>
        <w:jc w:val="both"/>
        <w:textAlignment w:val="auto"/>
        <w:rPr>
          <w:rFonts w:ascii="Times New Roman" w:hAnsi="Times New Roman" w:eastAsia="宋体" w:cs="宋体"/>
          <w:szCs w:val="32"/>
        </w:rPr>
      </w:pPr>
      <w:r>
        <w:rPr>
          <w:rFonts w:hint="eastAsia" w:ascii="楷体" w:hAnsi="楷体" w:eastAsia="楷体" w:cs="楷体"/>
          <w:sz w:val="24"/>
          <w:szCs w:val="24"/>
        </w:rPr>
        <w:t>第九章　附　　则</w:t>
      </w:r>
    </w:p>
    <w:p w14:paraId="70C21718">
      <w:pPr>
        <w:jc w:val="center"/>
        <w:rPr>
          <w:rFonts w:ascii="Times New Roman" w:hAnsi="Times New Roman" w:eastAsia="宋体" w:cs="宋体"/>
          <w:szCs w:val="32"/>
        </w:rPr>
      </w:pPr>
      <w:bookmarkStart w:id="3" w:name="第一章 总则"/>
      <w:bookmarkEnd w:id="3"/>
      <w:r>
        <w:rPr>
          <w:rFonts w:hint="eastAsia" w:ascii="Times New Roman" w:hAnsi="Times New Roman" w:eastAsia="黑体" w:cs="黑体"/>
          <w:sz w:val="28"/>
          <w:szCs w:val="28"/>
        </w:rPr>
        <w:t>第一章　总　　则</w:t>
      </w:r>
    </w:p>
    <w:p w14:paraId="03D3F75D">
      <w:pPr>
        <w:ind w:firstLine="472" w:firstLineChars="200"/>
        <w:rPr>
          <w:rFonts w:ascii="Times New Roman" w:hAnsi="Times New Roman" w:cs="仿宋_GB2312"/>
          <w:sz w:val="24"/>
          <w:szCs w:val="24"/>
        </w:rPr>
      </w:pPr>
      <w:bookmarkStart w:id="4" w:name="第一条"/>
      <w:bookmarkEnd w:id="4"/>
      <w:r>
        <w:rPr>
          <w:rFonts w:hint="eastAsia" w:ascii="Times New Roman" w:hAnsi="Times New Roman" w:eastAsia="黑体" w:cs="黑体"/>
          <w:sz w:val="24"/>
          <w:szCs w:val="24"/>
        </w:rPr>
        <w:t>第一条</w:t>
      </w:r>
      <w:r>
        <w:rPr>
          <w:rFonts w:hint="eastAsia" w:ascii="Times New Roman" w:hAnsi="Times New Roman" w:cs="仿宋_GB2312"/>
          <w:sz w:val="24"/>
          <w:szCs w:val="24"/>
        </w:rPr>
        <w:t>　为优化民营经济发展环境，保证各类经济组织公平参与市场竞争，促进民营经济健康发展和民营经济人士健康成长，构建高水平社会主义市场经济体制，发挥民营经济在国民经济和社会发展中的重要作用，</w:t>
      </w:r>
      <w:r>
        <w:rPr>
          <w:rFonts w:hint="eastAsia" w:ascii="Times New Roman" w:hAnsi="Times New Roman" w:cs="仿宋_GB2312"/>
          <w:sz w:val="24"/>
          <w:szCs w:val="24"/>
          <w:highlight w:val="red"/>
        </w:rPr>
        <w:t>根据宪法，制定本法。</w:t>
      </w:r>
    </w:p>
    <w:p w14:paraId="5BE4392A">
      <w:pPr>
        <w:ind w:firstLine="472" w:firstLineChars="200"/>
        <w:rPr>
          <w:rFonts w:hint="eastAsia" w:ascii="楷体" w:hAnsi="楷体" w:eastAsia="楷体" w:cs="楷体"/>
          <w:sz w:val="24"/>
          <w:szCs w:val="24"/>
        </w:rPr>
      </w:pPr>
      <w:bookmarkStart w:id="5" w:name="第二条"/>
      <w:bookmarkEnd w:id="5"/>
      <w:r>
        <w:rPr>
          <w:rFonts w:hint="eastAsia" w:ascii="楷体" w:hAnsi="楷体" w:eastAsia="楷体" w:cs="楷体"/>
          <w:sz w:val="24"/>
          <w:szCs w:val="24"/>
        </w:rPr>
        <w:t>第二条　促进民营经济发展工作坚持中国共产党的领导，坚持以人民为中心，坚持中国特色社会主义制度，确保民营经济发展的正确政治方向。</w:t>
      </w:r>
    </w:p>
    <w:p w14:paraId="33AE7BFB">
      <w:pPr>
        <w:ind w:firstLine="472" w:firstLineChars="200"/>
        <w:rPr>
          <w:rFonts w:hint="eastAsia" w:ascii="楷体" w:hAnsi="楷体" w:eastAsia="楷体" w:cs="楷体"/>
          <w:sz w:val="24"/>
          <w:szCs w:val="24"/>
        </w:rPr>
      </w:pPr>
      <w:r>
        <w:rPr>
          <w:rFonts w:hint="eastAsia" w:ascii="楷体" w:hAnsi="楷体" w:eastAsia="楷体" w:cs="楷体"/>
          <w:sz w:val="24"/>
          <w:szCs w:val="24"/>
        </w:rPr>
        <w:t>国家坚持和完善公有制为主体、多种所有制经济共同发展，按劳分配为主体、多种分配方式并存，社会主义市场经济体制等社会主义基本经济制度；毫不动摇巩固和发展公有制经济，毫不动摇鼓励、支持、引导非公有制经济发展；充分发挥市场在资源配置中的决定性作用，更好发挥政府作用。</w:t>
      </w:r>
    </w:p>
    <w:p w14:paraId="1C6EE654">
      <w:pPr>
        <w:ind w:firstLine="472" w:firstLineChars="200"/>
        <w:rPr>
          <w:rFonts w:hint="eastAsia" w:ascii="楷体" w:hAnsi="楷体" w:eastAsia="楷体" w:cs="楷体"/>
          <w:sz w:val="24"/>
          <w:szCs w:val="24"/>
        </w:rPr>
      </w:pPr>
      <w:bookmarkStart w:id="6" w:name="第三条"/>
      <w:bookmarkEnd w:id="6"/>
      <w:r>
        <w:rPr>
          <w:rFonts w:hint="eastAsia" w:ascii="楷体" w:hAnsi="楷体" w:eastAsia="楷体" w:cs="楷体"/>
          <w:sz w:val="24"/>
          <w:szCs w:val="24"/>
        </w:rPr>
        <w:t>第三条　民营经济是社会主义市场经济的重要组成部分，是推进中国式现代化的生力军，是高质量发展的重要基础，是推动我国全面建成社会主义现代化强国、实现中华民族伟大复兴的重要力量。促进民营经济持续、健康、高质量发展，是国家长期坚持的重大方针政策。</w:t>
      </w:r>
    </w:p>
    <w:p w14:paraId="7AD09887">
      <w:pPr>
        <w:ind w:firstLine="472" w:firstLineChars="200"/>
        <w:rPr>
          <w:rFonts w:hint="eastAsia" w:ascii="楷体" w:hAnsi="楷体" w:eastAsia="楷体" w:cs="楷体"/>
          <w:sz w:val="24"/>
          <w:szCs w:val="24"/>
        </w:rPr>
      </w:pPr>
      <w:r>
        <w:rPr>
          <w:rFonts w:hint="eastAsia" w:ascii="楷体" w:hAnsi="楷体" w:eastAsia="楷体" w:cs="楷体"/>
          <w:sz w:val="24"/>
          <w:szCs w:val="24"/>
        </w:rPr>
        <w:t>国家坚持依法鼓励、支持、引导民营经济发展，更好发挥法治固根本、稳预期、利长远的保障作用。</w:t>
      </w:r>
    </w:p>
    <w:p w14:paraId="7AB2A2B3">
      <w:pPr>
        <w:ind w:firstLine="472" w:firstLineChars="200"/>
        <w:rPr>
          <w:rFonts w:hint="eastAsia" w:ascii="楷体" w:hAnsi="楷体" w:eastAsia="楷体" w:cs="楷体"/>
          <w:color w:val="0000FF"/>
          <w:sz w:val="24"/>
          <w:szCs w:val="24"/>
        </w:rPr>
      </w:pPr>
      <w:r>
        <w:rPr>
          <w:rFonts w:hint="eastAsia" w:ascii="楷体" w:hAnsi="楷体" w:eastAsia="楷体" w:cs="楷体"/>
          <w:sz w:val="24"/>
          <w:szCs w:val="24"/>
        </w:rPr>
        <w:t>国家坚持平等对待、公平竞争、同等保护、共同发展的原则，促进民营经济发展壮大。</w:t>
      </w:r>
      <w:r>
        <w:rPr>
          <w:rFonts w:hint="eastAsia" w:ascii="楷体" w:hAnsi="楷体" w:eastAsia="楷体" w:cs="楷体"/>
          <w:color w:val="0000FF"/>
          <w:sz w:val="24"/>
          <w:szCs w:val="24"/>
        </w:rPr>
        <w:t>民营经济组织与其他各类经济组织享有平等的法律地位、市场机会和发展权利。</w:t>
      </w:r>
    </w:p>
    <w:p w14:paraId="0289F411">
      <w:pPr>
        <w:ind w:firstLine="472" w:firstLineChars="200"/>
        <w:rPr>
          <w:rFonts w:hint="eastAsia" w:ascii="楷体" w:hAnsi="楷体" w:eastAsia="楷体" w:cs="楷体"/>
          <w:sz w:val="24"/>
          <w:szCs w:val="24"/>
        </w:rPr>
      </w:pPr>
      <w:bookmarkStart w:id="7" w:name="第四条"/>
      <w:bookmarkEnd w:id="7"/>
      <w:r>
        <w:rPr>
          <w:rFonts w:hint="eastAsia" w:ascii="楷体" w:hAnsi="楷体" w:eastAsia="楷体" w:cs="楷体"/>
          <w:sz w:val="24"/>
          <w:szCs w:val="24"/>
        </w:rPr>
        <w:t>第四条　国务院和县级以上地方人民政府将促进民营经济发展工作纳入国民经济和社会发展规划，建立促进民营经济发展工作协调机制，制定完善政策措施，协调解决民营经济发展中的重大问题。</w:t>
      </w:r>
    </w:p>
    <w:p w14:paraId="41418456">
      <w:pPr>
        <w:ind w:firstLine="472" w:firstLineChars="200"/>
        <w:rPr>
          <w:rFonts w:hint="default" w:ascii="楷体" w:hAnsi="楷体" w:eastAsia="楷体" w:cs="楷体"/>
          <w:color w:val="0000FF"/>
          <w:sz w:val="24"/>
          <w:szCs w:val="24"/>
          <w:lang w:val="en-US" w:eastAsia="zh-CN"/>
        </w:rPr>
      </w:pPr>
      <w:r>
        <w:rPr>
          <w:rFonts w:hint="eastAsia" w:ascii="楷体" w:hAnsi="楷体" w:eastAsia="楷体" w:cs="楷体"/>
          <w:color w:val="0000FF"/>
          <w:sz w:val="24"/>
          <w:szCs w:val="24"/>
          <w:highlight w:val="red"/>
        </w:rPr>
        <w:t>国务院发展改革部门负责统筹协调促进民营经济发展工作</w:t>
      </w:r>
      <w:r>
        <w:rPr>
          <w:rFonts w:hint="eastAsia" w:ascii="楷体" w:hAnsi="楷体" w:eastAsia="楷体" w:cs="楷体"/>
          <w:sz w:val="24"/>
          <w:szCs w:val="24"/>
        </w:rPr>
        <w:t>。国务院其他有关部门在各自职责范围内，负责促进民营经济发展相关工作。</w:t>
      </w:r>
      <w:r>
        <w:rPr>
          <w:rFonts w:hint="eastAsia" w:ascii="楷体" w:hAnsi="楷体" w:eastAsia="楷体" w:cs="楷体"/>
          <w:color w:val="0000FF"/>
          <w:sz w:val="24"/>
          <w:szCs w:val="24"/>
          <w:lang w:eastAsia="zh-CN"/>
        </w:rPr>
        <w:t>（</w:t>
      </w:r>
      <w:r>
        <w:rPr>
          <w:rFonts w:hint="eastAsia" w:ascii="楷体" w:hAnsi="楷体" w:eastAsia="楷体" w:cs="楷体"/>
          <w:color w:val="0000FF"/>
          <w:sz w:val="24"/>
          <w:szCs w:val="24"/>
          <w:lang w:val="en-US" w:eastAsia="zh-CN"/>
        </w:rPr>
        <w:t>主管部门为发改局）</w:t>
      </w:r>
    </w:p>
    <w:p w14:paraId="1B4D9298">
      <w:pPr>
        <w:ind w:firstLine="472" w:firstLineChars="200"/>
        <w:rPr>
          <w:rFonts w:hint="eastAsia" w:ascii="楷体" w:hAnsi="楷体" w:eastAsia="楷体" w:cs="楷体"/>
          <w:sz w:val="24"/>
          <w:szCs w:val="24"/>
        </w:rPr>
      </w:pPr>
      <w:r>
        <w:rPr>
          <w:rFonts w:hint="eastAsia" w:ascii="楷体" w:hAnsi="楷体" w:eastAsia="楷体" w:cs="楷体"/>
          <w:sz w:val="24"/>
          <w:szCs w:val="24"/>
        </w:rPr>
        <w:t>县级以上地方人民政府有关部门依照法律法规和本级人民政府确定的职责分工，开展促进民营经济发展工作。</w:t>
      </w:r>
    </w:p>
    <w:p w14:paraId="4B428CA3">
      <w:pPr>
        <w:ind w:firstLine="472" w:firstLineChars="200"/>
        <w:rPr>
          <w:rFonts w:hint="eastAsia" w:ascii="楷体" w:hAnsi="楷体" w:eastAsia="楷体" w:cs="楷体"/>
          <w:sz w:val="24"/>
          <w:szCs w:val="24"/>
        </w:rPr>
      </w:pPr>
      <w:bookmarkStart w:id="8" w:name="第五条"/>
      <w:bookmarkEnd w:id="8"/>
      <w:r>
        <w:rPr>
          <w:rFonts w:hint="eastAsia" w:ascii="楷体" w:hAnsi="楷体" w:eastAsia="楷体" w:cs="楷体"/>
          <w:sz w:val="24"/>
          <w:szCs w:val="24"/>
        </w:rPr>
        <w:t>第五条　民营经济组织及其经营者应当拥护中国共产党的领导，坚持中国特色社会主义制度，积极投身社会主义现代化强国建设。</w:t>
      </w:r>
    </w:p>
    <w:p w14:paraId="7D9E7F1F">
      <w:pPr>
        <w:ind w:firstLine="472" w:firstLineChars="200"/>
        <w:rPr>
          <w:rFonts w:hint="eastAsia" w:ascii="楷体" w:hAnsi="楷体" w:eastAsia="楷体" w:cs="楷体"/>
          <w:sz w:val="24"/>
          <w:szCs w:val="24"/>
        </w:rPr>
      </w:pPr>
      <w:r>
        <w:rPr>
          <w:rFonts w:hint="eastAsia" w:ascii="楷体" w:hAnsi="楷体" w:eastAsia="楷体" w:cs="楷体"/>
          <w:sz w:val="24"/>
          <w:szCs w:val="24"/>
        </w:rPr>
        <w:t>国家加强民营经济组织经营者队伍建设，加强思想政治引领，发挥其在经济社会发展中的重要作用；</w:t>
      </w:r>
      <w:r>
        <w:rPr>
          <w:rFonts w:hint="eastAsia" w:ascii="楷体" w:hAnsi="楷体" w:eastAsia="楷体" w:cs="楷体"/>
          <w:color w:val="0000FF"/>
          <w:sz w:val="24"/>
          <w:szCs w:val="24"/>
        </w:rPr>
        <w:t>培育和弘扬企业家精神，</w:t>
      </w:r>
      <w:r>
        <w:rPr>
          <w:rFonts w:hint="eastAsia" w:ascii="楷体" w:hAnsi="楷体" w:eastAsia="楷体" w:cs="楷体"/>
          <w:sz w:val="24"/>
          <w:szCs w:val="24"/>
        </w:rPr>
        <w:t>引导民营经济组织经营者践行社会主义核心价值观，爱国敬业、守法经营、创业创新、回报社会，坚定做中国特色社会主义的建设者、中国式现代化的促进者。</w:t>
      </w:r>
    </w:p>
    <w:p w14:paraId="53208B7E">
      <w:pPr>
        <w:ind w:firstLine="472" w:firstLineChars="200"/>
        <w:rPr>
          <w:rFonts w:hint="eastAsia" w:ascii="楷体" w:hAnsi="楷体" w:eastAsia="楷体" w:cs="楷体"/>
          <w:sz w:val="24"/>
          <w:szCs w:val="24"/>
        </w:rPr>
      </w:pPr>
      <w:bookmarkStart w:id="9" w:name="第六条"/>
      <w:bookmarkEnd w:id="9"/>
      <w:r>
        <w:rPr>
          <w:rFonts w:hint="eastAsia" w:ascii="楷体" w:hAnsi="楷体" w:eastAsia="楷体" w:cs="楷体"/>
          <w:sz w:val="24"/>
          <w:szCs w:val="24"/>
        </w:rPr>
        <w:t>第六条　民营经济组织及其经营者从事生产经营活动，应当遵守法律法规，遵守社会公德、商业道德，诚实守信、公平竞争，履行社会责任，保障劳动者合法权益，维护国家利益和社会公共利益，接受政府和社会监督。</w:t>
      </w:r>
    </w:p>
    <w:p w14:paraId="6F1E9C11">
      <w:pPr>
        <w:ind w:firstLine="472" w:firstLineChars="200"/>
        <w:rPr>
          <w:rFonts w:hint="eastAsia" w:ascii="楷体" w:hAnsi="楷体" w:eastAsia="楷体" w:cs="楷体"/>
          <w:sz w:val="24"/>
          <w:szCs w:val="24"/>
        </w:rPr>
      </w:pPr>
      <w:bookmarkStart w:id="10" w:name="第七条"/>
      <w:bookmarkEnd w:id="10"/>
      <w:r>
        <w:rPr>
          <w:rFonts w:hint="eastAsia" w:ascii="楷体" w:hAnsi="楷体" w:eastAsia="楷体" w:cs="楷体"/>
          <w:sz w:val="24"/>
          <w:szCs w:val="24"/>
        </w:rPr>
        <w:t>第七条　</w:t>
      </w:r>
      <w:r>
        <w:rPr>
          <w:rFonts w:hint="eastAsia" w:ascii="楷体" w:hAnsi="楷体" w:eastAsia="楷体" w:cs="楷体"/>
          <w:color w:val="0000FF"/>
          <w:sz w:val="24"/>
          <w:szCs w:val="24"/>
        </w:rPr>
        <w:t>工商业联合会</w:t>
      </w:r>
      <w:r>
        <w:rPr>
          <w:rFonts w:hint="eastAsia" w:ascii="楷体" w:hAnsi="楷体" w:eastAsia="楷体" w:cs="楷体"/>
          <w:sz w:val="24"/>
          <w:szCs w:val="24"/>
        </w:rPr>
        <w:t>发挥在促进民营经济健康发展和民营经济人士健康成长中的重要作用，加强民营经济组织经营者思想政治建设，引导民营经济组织依法经营，提高服务民营经济水平。</w:t>
      </w:r>
    </w:p>
    <w:p w14:paraId="1EBAA2F4">
      <w:pPr>
        <w:ind w:firstLine="472" w:firstLineChars="200"/>
        <w:rPr>
          <w:rFonts w:hint="eastAsia" w:ascii="楷体" w:hAnsi="楷体" w:eastAsia="楷体" w:cs="楷体"/>
          <w:sz w:val="24"/>
          <w:szCs w:val="24"/>
        </w:rPr>
      </w:pPr>
      <w:bookmarkStart w:id="11" w:name="第八条"/>
      <w:bookmarkEnd w:id="11"/>
      <w:r>
        <w:rPr>
          <w:rFonts w:hint="eastAsia" w:ascii="楷体" w:hAnsi="楷体" w:eastAsia="楷体" w:cs="楷体"/>
          <w:sz w:val="24"/>
          <w:szCs w:val="24"/>
        </w:rPr>
        <w:t>第八条　加强对民营经济组织及其经营者创新创造等先进事迹的宣传报道，支持民营经济组织及其经营者参与评选表彰，引导形成尊重劳动、尊重创造、尊重企业家的社会环境，营造全社会关心、支持、促进民营经济发展的氛围。</w:t>
      </w:r>
    </w:p>
    <w:p w14:paraId="35EFF9B2">
      <w:pPr>
        <w:ind w:firstLine="472" w:firstLineChars="200"/>
        <w:rPr>
          <w:rFonts w:ascii="Times New Roman" w:hAnsi="Times New Roman" w:eastAsia="宋体" w:cs="宋体"/>
          <w:szCs w:val="32"/>
        </w:rPr>
      </w:pPr>
      <w:bookmarkStart w:id="12" w:name="第九条"/>
      <w:bookmarkEnd w:id="12"/>
      <w:r>
        <w:rPr>
          <w:rFonts w:hint="eastAsia" w:ascii="楷体" w:hAnsi="楷体" w:eastAsia="楷体" w:cs="楷体"/>
          <w:sz w:val="24"/>
          <w:szCs w:val="24"/>
        </w:rPr>
        <w:t>第九条　国家建立健全民营经济统计制度，对民营经济发展情况进行统计分析，定期发布有关信息。</w:t>
      </w:r>
    </w:p>
    <w:p w14:paraId="020F3A04">
      <w:pPr>
        <w:jc w:val="center"/>
        <w:rPr>
          <w:rFonts w:hint="eastAsia" w:ascii="楷体" w:hAnsi="楷体" w:eastAsia="楷体" w:cs="楷体"/>
          <w:sz w:val="24"/>
          <w:szCs w:val="24"/>
        </w:rPr>
      </w:pPr>
      <w:bookmarkStart w:id="13" w:name="第二章 公平竞争"/>
      <w:bookmarkEnd w:id="13"/>
      <w:r>
        <w:rPr>
          <w:rFonts w:hint="eastAsia" w:ascii="Times New Roman" w:hAnsi="Times New Roman" w:eastAsia="黑体" w:cs="黑体"/>
          <w:sz w:val="28"/>
          <w:szCs w:val="28"/>
        </w:rPr>
        <w:t>第二章　公平竞争</w:t>
      </w:r>
    </w:p>
    <w:p w14:paraId="290DCB3B">
      <w:pPr>
        <w:ind w:firstLine="472" w:firstLineChars="200"/>
        <w:rPr>
          <w:rFonts w:hint="eastAsia" w:ascii="楷体" w:hAnsi="楷体" w:eastAsia="楷体" w:cs="楷体"/>
          <w:color w:val="0000FF"/>
          <w:sz w:val="24"/>
          <w:szCs w:val="24"/>
          <w:lang w:val="en-US" w:eastAsia="zh-CN"/>
        </w:rPr>
      </w:pPr>
      <w:bookmarkStart w:id="14" w:name="第十条"/>
      <w:bookmarkEnd w:id="14"/>
      <w:r>
        <w:rPr>
          <w:rFonts w:hint="eastAsia" w:ascii="楷体" w:hAnsi="楷体" w:eastAsia="楷体" w:cs="楷体"/>
          <w:sz w:val="24"/>
          <w:szCs w:val="24"/>
        </w:rPr>
        <w:t>第十条　国家实行全国统一的市场准入</w:t>
      </w:r>
      <w:r>
        <w:rPr>
          <w:rFonts w:hint="eastAsia" w:ascii="楷体" w:hAnsi="楷体" w:eastAsia="楷体" w:cs="楷体"/>
          <w:color w:val="0000FF"/>
          <w:sz w:val="24"/>
          <w:szCs w:val="24"/>
        </w:rPr>
        <w:t>负面清单制度</w:t>
      </w:r>
      <w:r>
        <w:rPr>
          <w:rFonts w:hint="eastAsia" w:ascii="楷体" w:hAnsi="楷体" w:eastAsia="楷体" w:cs="楷体"/>
          <w:sz w:val="24"/>
          <w:szCs w:val="24"/>
        </w:rPr>
        <w:t>。市场准入负面清单以外的领域，包括民营经济组织在内的各类经济组织可以依法平等进入。</w:t>
      </w:r>
      <w:r>
        <w:rPr>
          <w:rFonts w:hint="eastAsia" w:ascii="楷体" w:hAnsi="楷体" w:eastAsia="楷体" w:cs="楷体"/>
          <w:color w:val="0000FF"/>
          <w:sz w:val="24"/>
          <w:szCs w:val="24"/>
          <w:lang w:eastAsia="zh-CN"/>
        </w:rPr>
        <w:t>（</w:t>
      </w:r>
      <w:r>
        <w:rPr>
          <w:rFonts w:hint="eastAsia" w:ascii="楷体" w:hAnsi="楷体" w:eastAsia="楷体" w:cs="楷体"/>
          <w:color w:val="0000FF"/>
          <w:sz w:val="24"/>
          <w:szCs w:val="24"/>
          <w:lang w:val="en-US" w:eastAsia="zh-CN"/>
        </w:rPr>
        <w:t>否定式列举）</w:t>
      </w:r>
    </w:p>
    <w:p w14:paraId="2A53E991">
      <w:pPr>
        <w:ind w:firstLine="472" w:firstLineChars="200"/>
        <w:rPr>
          <w:rFonts w:hint="eastAsia" w:ascii="楷体" w:hAnsi="楷体" w:eastAsia="楷体" w:cs="楷体"/>
          <w:sz w:val="24"/>
          <w:szCs w:val="24"/>
        </w:rPr>
      </w:pPr>
      <w:bookmarkStart w:id="15" w:name="第十一条"/>
      <w:bookmarkEnd w:id="15"/>
      <w:r>
        <w:rPr>
          <w:rFonts w:hint="eastAsia" w:ascii="楷体" w:hAnsi="楷体" w:eastAsia="楷体" w:cs="楷体"/>
          <w:sz w:val="24"/>
          <w:szCs w:val="24"/>
        </w:rPr>
        <w:t>第十一条　各级人民政府及其有关部门落实公平竞争审查制度，制定涉及经营主体生产经营活动的政策措施应当经过公平竞争审查，并定期评估，及时清理、废除含有妨碍全国统一市场和公平竞争内容的政策措施，保障民营经济组织公平参与市场竞争。</w:t>
      </w:r>
    </w:p>
    <w:p w14:paraId="7EFE9D5D">
      <w:pPr>
        <w:ind w:firstLine="472" w:firstLineChars="200"/>
        <w:rPr>
          <w:rFonts w:hint="eastAsia" w:ascii="楷体" w:hAnsi="楷体" w:eastAsia="楷体" w:cs="楷体"/>
          <w:sz w:val="24"/>
          <w:szCs w:val="24"/>
        </w:rPr>
      </w:pPr>
      <w:r>
        <w:rPr>
          <w:rFonts w:hint="eastAsia" w:ascii="楷体" w:hAnsi="楷体" w:eastAsia="楷体" w:cs="楷体"/>
          <w:sz w:val="24"/>
          <w:szCs w:val="24"/>
        </w:rPr>
        <w:t>市场监督管理部门负责受理对违反公平竞争审查制度政策措施的举报，并依法处理。</w:t>
      </w:r>
    </w:p>
    <w:p w14:paraId="6255CD7B">
      <w:pPr>
        <w:ind w:firstLine="472" w:firstLineChars="200"/>
        <w:rPr>
          <w:rFonts w:hint="eastAsia" w:ascii="楷体" w:hAnsi="楷体" w:eastAsia="楷体" w:cs="楷体"/>
          <w:sz w:val="24"/>
          <w:szCs w:val="24"/>
        </w:rPr>
      </w:pPr>
      <w:bookmarkStart w:id="16" w:name="第十二条"/>
      <w:bookmarkEnd w:id="16"/>
      <w:r>
        <w:rPr>
          <w:rFonts w:hint="eastAsia" w:ascii="楷体" w:hAnsi="楷体" w:eastAsia="楷体" w:cs="楷体"/>
          <w:sz w:val="24"/>
          <w:szCs w:val="24"/>
        </w:rPr>
        <w:t>第十二条　国家保障民营经济组织依法平等使用资金、技术、人力资源、数据、土地及其他自然资源等各类生产要素和公共服务资源，依法平等适用国家支持发展的政策。</w:t>
      </w:r>
    </w:p>
    <w:p w14:paraId="4C408710">
      <w:pPr>
        <w:ind w:firstLine="472" w:firstLineChars="200"/>
        <w:rPr>
          <w:rFonts w:hint="eastAsia" w:ascii="楷体" w:hAnsi="楷体" w:eastAsia="楷体" w:cs="楷体"/>
          <w:sz w:val="24"/>
          <w:szCs w:val="24"/>
        </w:rPr>
      </w:pPr>
      <w:bookmarkStart w:id="17" w:name="第十三条"/>
      <w:bookmarkEnd w:id="17"/>
      <w:r>
        <w:rPr>
          <w:rFonts w:hint="eastAsia" w:ascii="楷体" w:hAnsi="楷体" w:eastAsia="楷体" w:cs="楷体"/>
          <w:sz w:val="24"/>
          <w:szCs w:val="24"/>
        </w:rPr>
        <w:t>第十三条　各级人民政府及其有关部门依照法定权限，在制定、实施政府资金安排、土地供应、排污指标、公共数据开放、资质许可、标准制定、项目申报、职称评定、评优评先、人力资源等方面的政策措施时，平等对待民营经济组织。</w:t>
      </w:r>
    </w:p>
    <w:p w14:paraId="13A8698A">
      <w:pPr>
        <w:ind w:firstLine="472" w:firstLineChars="200"/>
        <w:rPr>
          <w:rFonts w:hint="eastAsia" w:ascii="楷体" w:hAnsi="楷体" w:eastAsia="楷体" w:cs="楷体"/>
          <w:sz w:val="24"/>
          <w:szCs w:val="24"/>
        </w:rPr>
      </w:pPr>
      <w:bookmarkStart w:id="18" w:name="第十四条"/>
      <w:bookmarkEnd w:id="18"/>
      <w:r>
        <w:rPr>
          <w:rFonts w:hint="eastAsia" w:ascii="楷体" w:hAnsi="楷体" w:eastAsia="楷体" w:cs="楷体"/>
          <w:sz w:val="24"/>
          <w:szCs w:val="24"/>
        </w:rPr>
        <w:t>第十四条　公共资源交易活动应当公开透明、公平公正，依法平等对待包括民营经济组织在内的各类经济组织。</w:t>
      </w:r>
    </w:p>
    <w:p w14:paraId="000BE6A5">
      <w:pPr>
        <w:ind w:firstLine="472" w:firstLineChars="200"/>
        <w:rPr>
          <w:rFonts w:hint="eastAsia" w:ascii="楷体" w:hAnsi="楷体" w:eastAsia="楷体" w:cs="楷体"/>
          <w:color w:val="0000FF"/>
          <w:sz w:val="24"/>
          <w:szCs w:val="24"/>
        </w:rPr>
      </w:pPr>
      <w:r>
        <w:rPr>
          <w:rFonts w:hint="eastAsia" w:ascii="楷体" w:hAnsi="楷体" w:eastAsia="楷体" w:cs="楷体"/>
          <w:sz w:val="24"/>
          <w:szCs w:val="24"/>
        </w:rPr>
        <w:t>除法律另有规定外，</w:t>
      </w:r>
      <w:r>
        <w:rPr>
          <w:rFonts w:hint="eastAsia" w:ascii="楷体" w:hAnsi="楷体" w:eastAsia="楷体" w:cs="楷体"/>
          <w:color w:val="0000FF"/>
          <w:sz w:val="24"/>
          <w:szCs w:val="24"/>
        </w:rPr>
        <w:t>招标投标、政府采购等公共资源交易不得有限制或者排斥民营经济组织的行为。</w:t>
      </w:r>
    </w:p>
    <w:p w14:paraId="25C86C7A">
      <w:pPr>
        <w:ind w:firstLine="472" w:firstLineChars="200"/>
        <w:rPr>
          <w:rFonts w:ascii="Times New Roman" w:hAnsi="Times New Roman" w:eastAsia="宋体" w:cs="宋体"/>
          <w:szCs w:val="32"/>
        </w:rPr>
      </w:pPr>
      <w:bookmarkStart w:id="19" w:name="第十五条"/>
      <w:bookmarkEnd w:id="19"/>
      <w:r>
        <w:rPr>
          <w:rFonts w:hint="eastAsia" w:ascii="楷体" w:hAnsi="楷体" w:eastAsia="楷体" w:cs="楷体"/>
          <w:sz w:val="24"/>
          <w:szCs w:val="24"/>
        </w:rPr>
        <w:t>第十五条　反垄断和反不正当竞争执法机构按照职责权限，预防和制止市场经济活动中的垄断、不正当竞争行为，对滥用行政权力排除、限制竞争的行为依法处理，为民营经济组织提供良好的市场环境。</w:t>
      </w:r>
    </w:p>
    <w:p w14:paraId="04C3A103">
      <w:pPr>
        <w:jc w:val="center"/>
        <w:rPr>
          <w:rFonts w:hint="eastAsia" w:ascii="楷体" w:hAnsi="楷体" w:eastAsia="楷体" w:cs="楷体"/>
          <w:sz w:val="24"/>
          <w:szCs w:val="24"/>
        </w:rPr>
      </w:pPr>
      <w:bookmarkStart w:id="20" w:name="第三章 投资融资促进"/>
      <w:bookmarkEnd w:id="20"/>
      <w:r>
        <w:rPr>
          <w:rFonts w:hint="eastAsia" w:ascii="Times New Roman" w:hAnsi="Times New Roman" w:eastAsia="黑体" w:cs="黑体"/>
          <w:sz w:val="28"/>
          <w:szCs w:val="28"/>
        </w:rPr>
        <w:t>第三章　投资融资促进</w:t>
      </w:r>
    </w:p>
    <w:p w14:paraId="08A5A7F4">
      <w:pPr>
        <w:ind w:firstLine="472" w:firstLineChars="200"/>
        <w:rPr>
          <w:rFonts w:hint="eastAsia" w:ascii="楷体" w:hAnsi="楷体" w:eastAsia="楷体" w:cs="楷体"/>
          <w:sz w:val="24"/>
          <w:szCs w:val="24"/>
        </w:rPr>
      </w:pPr>
      <w:bookmarkStart w:id="21" w:name="第十六条"/>
      <w:bookmarkEnd w:id="21"/>
      <w:r>
        <w:rPr>
          <w:rFonts w:hint="eastAsia" w:ascii="楷体" w:hAnsi="楷体" w:eastAsia="楷体" w:cs="楷体"/>
          <w:sz w:val="24"/>
          <w:szCs w:val="24"/>
        </w:rPr>
        <w:t>第十六条　支持民营经济组织参与国家重大战略和重大工程。支持民营经济组织在战略性新兴产业、未来产业等领域投资和创业，鼓励开展传统产业技术改造和转型升级，参与现代化基础设施投资建设。</w:t>
      </w:r>
    </w:p>
    <w:p w14:paraId="01BADB7F">
      <w:pPr>
        <w:ind w:firstLine="472" w:firstLineChars="200"/>
        <w:rPr>
          <w:rFonts w:hint="eastAsia" w:ascii="楷体" w:hAnsi="楷体" w:eastAsia="楷体" w:cs="楷体"/>
          <w:sz w:val="24"/>
          <w:szCs w:val="24"/>
        </w:rPr>
      </w:pPr>
      <w:bookmarkStart w:id="22" w:name="第十七条"/>
      <w:bookmarkEnd w:id="22"/>
      <w:r>
        <w:rPr>
          <w:rFonts w:hint="eastAsia" w:ascii="楷体" w:hAnsi="楷体" w:eastAsia="楷体" w:cs="楷体"/>
          <w:sz w:val="24"/>
          <w:szCs w:val="24"/>
        </w:rPr>
        <w:t>第十七条　国务院有关部门根据国家重大发展战略、发展规划、产业政策等，统筹研究制定促进民营经济投资政策措施，发布鼓励民营经济投资重大项目信息，引导民营经济投资重点领域。</w:t>
      </w:r>
    </w:p>
    <w:p w14:paraId="5519A8B4">
      <w:pPr>
        <w:ind w:firstLine="472" w:firstLineChars="200"/>
        <w:rPr>
          <w:rFonts w:hint="eastAsia" w:ascii="楷体" w:hAnsi="楷体" w:eastAsia="楷体" w:cs="楷体"/>
          <w:sz w:val="24"/>
          <w:szCs w:val="24"/>
        </w:rPr>
      </w:pPr>
      <w:r>
        <w:rPr>
          <w:rFonts w:hint="eastAsia" w:ascii="楷体" w:hAnsi="楷体" w:eastAsia="楷体" w:cs="楷体"/>
          <w:sz w:val="24"/>
          <w:szCs w:val="24"/>
        </w:rPr>
        <w:t>民营经济组织投资建设符合国家战略方向的固定资产投资项目，依法享受国家支持政策。</w:t>
      </w:r>
    </w:p>
    <w:p w14:paraId="5CDDDB15">
      <w:pPr>
        <w:ind w:firstLine="472" w:firstLineChars="200"/>
        <w:rPr>
          <w:rFonts w:hint="eastAsia" w:ascii="楷体" w:hAnsi="楷体" w:eastAsia="楷体" w:cs="楷体"/>
          <w:sz w:val="24"/>
          <w:szCs w:val="24"/>
        </w:rPr>
      </w:pPr>
      <w:bookmarkStart w:id="23" w:name="第十八条"/>
      <w:bookmarkEnd w:id="23"/>
      <w:r>
        <w:rPr>
          <w:rFonts w:hint="eastAsia" w:ascii="楷体" w:hAnsi="楷体" w:eastAsia="楷体" w:cs="楷体"/>
          <w:sz w:val="24"/>
          <w:szCs w:val="24"/>
        </w:rPr>
        <w:t>第十八条　支持民营经济组织通过多种方式盘活存量资产，提高再投资能力，提升资产质量和效益。</w:t>
      </w:r>
    </w:p>
    <w:p w14:paraId="684D0896">
      <w:pPr>
        <w:ind w:firstLine="472" w:firstLineChars="200"/>
        <w:rPr>
          <w:rFonts w:hint="eastAsia" w:ascii="楷体" w:hAnsi="楷体" w:eastAsia="楷体" w:cs="楷体"/>
          <w:sz w:val="24"/>
          <w:szCs w:val="24"/>
        </w:rPr>
      </w:pPr>
      <w:r>
        <w:rPr>
          <w:rFonts w:hint="eastAsia" w:ascii="楷体" w:hAnsi="楷体" w:eastAsia="楷体" w:cs="楷体"/>
          <w:sz w:val="24"/>
          <w:szCs w:val="24"/>
        </w:rPr>
        <w:t>各级人民政府及其有关部门支持民营经济组织参与政府和社会资本合作项目。政府和社会资本合作项目应当合理设置双方权利义务，明确投资收益获得方式、风险分担机制、纠纷解决方式等事项。</w:t>
      </w:r>
    </w:p>
    <w:p w14:paraId="3A5CFCD2">
      <w:pPr>
        <w:ind w:firstLine="472" w:firstLineChars="200"/>
        <w:rPr>
          <w:rFonts w:hint="eastAsia" w:ascii="楷体" w:hAnsi="楷体" w:eastAsia="楷体" w:cs="楷体"/>
          <w:sz w:val="24"/>
          <w:szCs w:val="24"/>
        </w:rPr>
      </w:pPr>
      <w:bookmarkStart w:id="24" w:name="第十九条"/>
      <w:bookmarkEnd w:id="24"/>
      <w:r>
        <w:rPr>
          <w:rFonts w:hint="eastAsia" w:ascii="楷体" w:hAnsi="楷体" w:eastAsia="楷体" w:cs="楷体"/>
          <w:sz w:val="24"/>
          <w:szCs w:val="24"/>
        </w:rPr>
        <w:t>第十九条　各级人民政府及其有关部门在项目推介对接、前期工作和报建审批事项办理、要素获取和政府投资支持等方面，为民营经济组织投资提供规范高效便利的服务。</w:t>
      </w:r>
    </w:p>
    <w:p w14:paraId="4814E1C4">
      <w:pPr>
        <w:ind w:firstLine="472" w:firstLineChars="200"/>
        <w:rPr>
          <w:rFonts w:hint="eastAsia" w:ascii="楷体" w:hAnsi="楷体" w:eastAsia="楷体" w:cs="楷体"/>
          <w:sz w:val="24"/>
          <w:szCs w:val="24"/>
        </w:rPr>
      </w:pPr>
      <w:bookmarkStart w:id="25" w:name="第二十条"/>
      <w:bookmarkEnd w:id="25"/>
      <w:r>
        <w:rPr>
          <w:rFonts w:hint="eastAsia" w:ascii="楷体" w:hAnsi="楷体" w:eastAsia="楷体" w:cs="楷体"/>
          <w:sz w:val="24"/>
          <w:szCs w:val="24"/>
        </w:rPr>
        <w:t>第二十条　国务院有关部门依据职责发挥货币政策工具和宏观信贷政策的激励约束作用，按照市场化、法治化原则，对金融机构向小型微型民营经济组织提供金融服务实施差异化政策，督促引导金融机构合理设置不良贷款容忍度、建立健全尽职免责机制、提升专业服务能力，提高为民营经济组织提供金融服务的水平。</w:t>
      </w:r>
    </w:p>
    <w:p w14:paraId="26E4D97F">
      <w:pPr>
        <w:ind w:firstLine="472" w:firstLineChars="200"/>
        <w:rPr>
          <w:rFonts w:hint="eastAsia" w:ascii="楷体" w:hAnsi="楷体" w:eastAsia="楷体" w:cs="楷体"/>
          <w:sz w:val="24"/>
          <w:szCs w:val="24"/>
        </w:rPr>
      </w:pPr>
      <w:bookmarkStart w:id="26" w:name="第二十一条"/>
      <w:bookmarkEnd w:id="26"/>
      <w:r>
        <w:rPr>
          <w:rFonts w:hint="eastAsia" w:ascii="楷体" w:hAnsi="楷体" w:eastAsia="楷体" w:cs="楷体"/>
          <w:sz w:val="24"/>
          <w:szCs w:val="24"/>
        </w:rPr>
        <w:t>第二十一条　银行业金融机构等依据法律法规，接受符合贷款业务需要的担保方式，并为民营经济组织提供</w:t>
      </w:r>
      <w:r>
        <w:rPr>
          <w:rFonts w:hint="eastAsia" w:ascii="楷体" w:hAnsi="楷体" w:eastAsia="楷体" w:cs="楷体"/>
          <w:color w:val="0000FF"/>
          <w:sz w:val="24"/>
          <w:szCs w:val="24"/>
        </w:rPr>
        <w:t>应收账款、仓单、股权、知识产权</w:t>
      </w:r>
      <w:r>
        <w:rPr>
          <w:rFonts w:hint="eastAsia" w:ascii="楷体" w:hAnsi="楷体" w:eastAsia="楷体" w:cs="楷体"/>
          <w:sz w:val="24"/>
          <w:szCs w:val="24"/>
        </w:rPr>
        <w:t>等权利质押贷款。</w:t>
      </w:r>
    </w:p>
    <w:p w14:paraId="0AD1FB09">
      <w:pPr>
        <w:ind w:firstLine="472" w:firstLineChars="200"/>
        <w:rPr>
          <w:rFonts w:hint="eastAsia" w:ascii="楷体" w:hAnsi="楷体" w:eastAsia="楷体" w:cs="楷体"/>
          <w:color w:val="0000FF"/>
          <w:sz w:val="24"/>
          <w:szCs w:val="24"/>
        </w:rPr>
      </w:pPr>
      <w:r>
        <w:rPr>
          <w:rFonts w:hint="eastAsia" w:ascii="楷体" w:hAnsi="楷体" w:eastAsia="楷体" w:cs="楷体"/>
          <w:sz w:val="24"/>
          <w:szCs w:val="24"/>
        </w:rPr>
        <w:t>各级人民政府及其有关部门应当为</w:t>
      </w:r>
      <w:r>
        <w:rPr>
          <w:rFonts w:hint="eastAsia" w:ascii="楷体" w:hAnsi="楷体" w:eastAsia="楷体" w:cs="楷体"/>
          <w:color w:val="0000FF"/>
          <w:sz w:val="24"/>
          <w:szCs w:val="24"/>
        </w:rPr>
        <w:t>动产和权利质押登记、估值、交易流通、信息共享等提供支持和便利。</w:t>
      </w:r>
    </w:p>
    <w:p w14:paraId="77A54CB7">
      <w:pPr>
        <w:ind w:firstLine="472" w:firstLineChars="200"/>
        <w:rPr>
          <w:rFonts w:hint="eastAsia" w:ascii="楷体" w:hAnsi="楷体" w:eastAsia="楷体" w:cs="楷体"/>
          <w:sz w:val="24"/>
          <w:szCs w:val="24"/>
        </w:rPr>
      </w:pPr>
      <w:bookmarkStart w:id="27" w:name="第二十二条"/>
      <w:bookmarkEnd w:id="27"/>
      <w:r>
        <w:rPr>
          <w:rFonts w:hint="eastAsia" w:ascii="楷体" w:hAnsi="楷体" w:eastAsia="楷体" w:cs="楷体"/>
          <w:sz w:val="24"/>
          <w:szCs w:val="24"/>
        </w:rPr>
        <w:t>第二十二条　国家推动构建完善民营经济组织融资风险的市场化分担机制，支持银行业金融机构与融资担保机构有序扩大业务合作，共同服务民营经济组织。</w:t>
      </w:r>
    </w:p>
    <w:p w14:paraId="1055717C">
      <w:pPr>
        <w:ind w:firstLine="472" w:firstLineChars="200"/>
        <w:rPr>
          <w:rFonts w:hint="eastAsia" w:ascii="楷体" w:hAnsi="楷体" w:eastAsia="楷体" w:cs="楷体"/>
          <w:sz w:val="24"/>
          <w:szCs w:val="24"/>
        </w:rPr>
      </w:pPr>
      <w:bookmarkStart w:id="28" w:name="第二十三条"/>
      <w:bookmarkEnd w:id="28"/>
      <w:r>
        <w:rPr>
          <w:rFonts w:hint="eastAsia" w:ascii="楷体" w:hAnsi="楷体" w:eastAsia="楷体" w:cs="楷体"/>
          <w:sz w:val="24"/>
          <w:szCs w:val="24"/>
        </w:rPr>
        <w:t>第二十三条　金融机构在依法合规前提下，按照市场化、可持续发展原则开发和提供适合民营经济特点的金融产品和服务，为资信良好的民营经济组织融资提供便利条件，增强信贷供给、贷款周期与民营经济组织融资需求、资金使用周期的适配性，提升金融服务可获得性和便利度。</w:t>
      </w:r>
    </w:p>
    <w:p w14:paraId="0537F01C">
      <w:pPr>
        <w:ind w:firstLine="472" w:firstLineChars="200"/>
        <w:rPr>
          <w:rFonts w:hint="eastAsia" w:ascii="楷体" w:hAnsi="楷体" w:eastAsia="楷体" w:cs="楷体"/>
          <w:sz w:val="24"/>
          <w:szCs w:val="24"/>
        </w:rPr>
      </w:pPr>
      <w:bookmarkStart w:id="29" w:name="第二十四条"/>
      <w:bookmarkEnd w:id="29"/>
      <w:r>
        <w:rPr>
          <w:rFonts w:hint="eastAsia" w:ascii="楷体" w:hAnsi="楷体" w:eastAsia="楷体" w:cs="楷体"/>
          <w:sz w:val="24"/>
          <w:szCs w:val="24"/>
        </w:rPr>
        <w:t>第二十四条　金融机构在授信、信贷管理、风控管理、服务收费等方面应当平等对待民营经济组织。</w:t>
      </w:r>
    </w:p>
    <w:p w14:paraId="2F201C5B">
      <w:pPr>
        <w:ind w:firstLine="472" w:firstLineChars="200"/>
        <w:rPr>
          <w:rFonts w:hint="eastAsia" w:ascii="楷体" w:hAnsi="楷体" w:eastAsia="楷体" w:cs="楷体"/>
          <w:sz w:val="24"/>
          <w:szCs w:val="24"/>
        </w:rPr>
      </w:pPr>
      <w:r>
        <w:rPr>
          <w:rFonts w:hint="eastAsia" w:ascii="楷体" w:hAnsi="楷体" w:eastAsia="楷体" w:cs="楷体"/>
          <w:color w:val="0000FF"/>
          <w:sz w:val="24"/>
          <w:szCs w:val="24"/>
        </w:rPr>
        <w:t>金融机构违反与民营经济组织借款人的约定，单方面增加发放贷款条件、中止发放贷款或者提前收回贷款的，依法承担违约责任。</w:t>
      </w:r>
    </w:p>
    <w:p w14:paraId="2D88BFE1">
      <w:pPr>
        <w:ind w:firstLine="472" w:firstLineChars="200"/>
        <w:rPr>
          <w:rFonts w:hint="eastAsia" w:ascii="楷体" w:hAnsi="楷体" w:eastAsia="楷体" w:cs="楷体"/>
          <w:sz w:val="24"/>
          <w:szCs w:val="24"/>
        </w:rPr>
      </w:pPr>
      <w:bookmarkStart w:id="30" w:name="第二十五条"/>
      <w:bookmarkEnd w:id="30"/>
      <w:r>
        <w:rPr>
          <w:rFonts w:hint="eastAsia" w:ascii="楷体" w:hAnsi="楷体" w:eastAsia="楷体" w:cs="楷体"/>
          <w:sz w:val="24"/>
          <w:szCs w:val="24"/>
        </w:rPr>
        <w:t>第二十五条　健全多层次资本市场体系，支持符合条件的民营经济组织通过发行股票、债券等方式平等获得直接融资。</w:t>
      </w:r>
    </w:p>
    <w:p w14:paraId="37BFE49D">
      <w:pPr>
        <w:ind w:firstLine="472" w:firstLineChars="200"/>
        <w:rPr>
          <w:rFonts w:ascii="Times New Roman" w:hAnsi="Times New Roman" w:eastAsia="宋体" w:cs="宋体"/>
          <w:szCs w:val="32"/>
        </w:rPr>
      </w:pPr>
      <w:bookmarkStart w:id="31" w:name="第二十六条"/>
      <w:bookmarkEnd w:id="31"/>
      <w:r>
        <w:rPr>
          <w:rFonts w:hint="eastAsia" w:ascii="楷体" w:hAnsi="楷体" w:eastAsia="楷体" w:cs="楷体"/>
          <w:sz w:val="24"/>
          <w:szCs w:val="24"/>
        </w:rPr>
        <w:t>第二十六条　建立健全信用信息归集共享机制，支持征信机构为民营经济组织融资提供征信服务，支持信用评级机构优化民营经济组织的评级方法，增加信用评级有效供给，为民营经济组织获得融资提供便利。</w:t>
      </w:r>
    </w:p>
    <w:p w14:paraId="642DC28E">
      <w:pPr>
        <w:jc w:val="center"/>
        <w:rPr>
          <w:rFonts w:ascii="Times New Roman" w:hAnsi="Times New Roman" w:eastAsia="宋体" w:cs="宋体"/>
          <w:szCs w:val="32"/>
        </w:rPr>
      </w:pPr>
      <w:bookmarkStart w:id="32" w:name="第四章 科技创新"/>
      <w:bookmarkEnd w:id="32"/>
      <w:r>
        <w:rPr>
          <w:rFonts w:hint="eastAsia" w:ascii="Times New Roman" w:hAnsi="Times New Roman" w:eastAsia="黑体" w:cs="黑体"/>
          <w:sz w:val="28"/>
          <w:szCs w:val="28"/>
        </w:rPr>
        <w:t>第四章　科技创新</w:t>
      </w:r>
    </w:p>
    <w:p w14:paraId="49526573">
      <w:pPr>
        <w:ind w:firstLine="472" w:firstLineChars="200"/>
        <w:rPr>
          <w:rFonts w:hint="eastAsia" w:ascii="楷体" w:hAnsi="楷体" w:eastAsia="楷体" w:cs="楷体"/>
          <w:sz w:val="24"/>
          <w:szCs w:val="24"/>
        </w:rPr>
      </w:pPr>
      <w:bookmarkStart w:id="33" w:name="第二十七条"/>
      <w:bookmarkEnd w:id="33"/>
      <w:r>
        <w:rPr>
          <w:rFonts w:hint="eastAsia" w:ascii="楷体" w:hAnsi="楷体" w:eastAsia="楷体" w:cs="楷体"/>
          <w:sz w:val="24"/>
          <w:szCs w:val="24"/>
        </w:rPr>
        <w:t>第二十七条　国家鼓励、支持民营经济组织在推动科技创新、培育新质生产力、建设现代化产业体系中积极发挥作用。引导民营经济组织根据国家战略需要、行业发展趋势和世界科技前沿，加强基础性、前沿性研究，开发关键核心技术、共性基础技术和前沿交叉技术，推动科技创新和产业创新融合发展，催生新产业、新模式、新动能。</w:t>
      </w:r>
    </w:p>
    <w:p w14:paraId="0687B547">
      <w:pPr>
        <w:ind w:firstLine="472" w:firstLineChars="200"/>
        <w:rPr>
          <w:rFonts w:hint="eastAsia" w:ascii="楷体" w:hAnsi="楷体" w:eastAsia="楷体" w:cs="楷体"/>
          <w:sz w:val="24"/>
          <w:szCs w:val="24"/>
        </w:rPr>
      </w:pPr>
      <w:r>
        <w:rPr>
          <w:rFonts w:hint="eastAsia" w:ascii="楷体" w:hAnsi="楷体" w:eastAsia="楷体" w:cs="楷体"/>
          <w:sz w:val="24"/>
          <w:szCs w:val="24"/>
        </w:rPr>
        <w:t>引导非营利性基金依法资助民营经济组织开展基础研究、前沿技术研究和社会公益性技术研究。</w:t>
      </w:r>
    </w:p>
    <w:p w14:paraId="122C747D">
      <w:pPr>
        <w:ind w:firstLine="472" w:firstLineChars="200"/>
        <w:rPr>
          <w:rFonts w:hint="eastAsia" w:ascii="楷体" w:hAnsi="楷体" w:eastAsia="楷体" w:cs="楷体"/>
          <w:sz w:val="24"/>
          <w:szCs w:val="24"/>
        </w:rPr>
      </w:pPr>
      <w:bookmarkStart w:id="34" w:name="第二十八条"/>
      <w:bookmarkEnd w:id="34"/>
      <w:r>
        <w:rPr>
          <w:rFonts w:hint="eastAsia" w:ascii="楷体" w:hAnsi="楷体" w:eastAsia="楷体" w:cs="楷体"/>
          <w:sz w:val="24"/>
          <w:szCs w:val="24"/>
        </w:rPr>
        <w:t>第二十八条　支持民营经济组织参与国家科技攻关项目，支持有能力的民营经济组织牵头承担国家重大技术攻关任务，向民营经济组织开放国家重大科研基础设施，支持公共研究开发平台、共性技术平台开放共享，为民营经济组织技术创新平等提供服务，鼓励各类企业和高等学校、科研院所、职业学校与民营经济组织创新合作机制，开展技术交流和成果转移转化，推动产学研深度融合。</w:t>
      </w:r>
    </w:p>
    <w:p w14:paraId="34ABD89E">
      <w:pPr>
        <w:ind w:firstLine="472" w:firstLineChars="200"/>
        <w:rPr>
          <w:rFonts w:hint="eastAsia" w:ascii="楷体" w:hAnsi="楷体" w:eastAsia="楷体" w:cs="楷体"/>
          <w:sz w:val="24"/>
          <w:szCs w:val="24"/>
        </w:rPr>
      </w:pPr>
      <w:bookmarkStart w:id="35" w:name="第二十九条"/>
      <w:bookmarkEnd w:id="35"/>
      <w:r>
        <w:rPr>
          <w:rFonts w:hint="eastAsia" w:ascii="楷体" w:hAnsi="楷体" w:eastAsia="楷体" w:cs="楷体"/>
          <w:sz w:val="24"/>
          <w:szCs w:val="24"/>
        </w:rPr>
        <w:t>第二十九条　支持民营经济组织依法参与数字化、智能化共性技术研发和数据要素市场建设，依法合理使用数据，对开放的公共数据资源依法进行开发利用，增强数据要素共享性、普惠性、安全性，充分发挥数据赋能作用。</w:t>
      </w:r>
    </w:p>
    <w:p w14:paraId="37477856">
      <w:pPr>
        <w:ind w:firstLine="472" w:firstLineChars="200"/>
        <w:rPr>
          <w:rFonts w:hint="eastAsia" w:ascii="楷体" w:hAnsi="楷体" w:eastAsia="楷体" w:cs="楷体"/>
          <w:sz w:val="24"/>
          <w:szCs w:val="24"/>
        </w:rPr>
      </w:pPr>
      <w:bookmarkStart w:id="36" w:name="第三十条"/>
      <w:bookmarkEnd w:id="36"/>
      <w:r>
        <w:rPr>
          <w:rFonts w:hint="eastAsia" w:ascii="楷体" w:hAnsi="楷体" w:eastAsia="楷体" w:cs="楷体"/>
          <w:sz w:val="24"/>
          <w:szCs w:val="24"/>
        </w:rPr>
        <w:t>第三十条　国家保障民营经济组织依法参与标准制定工作，强化标准制定的信息公开和社会监督。</w:t>
      </w:r>
    </w:p>
    <w:p w14:paraId="43E31098">
      <w:pPr>
        <w:ind w:firstLine="472" w:firstLineChars="200"/>
        <w:rPr>
          <w:rFonts w:hint="eastAsia" w:ascii="楷体" w:hAnsi="楷体" w:eastAsia="楷体" w:cs="楷体"/>
          <w:sz w:val="24"/>
          <w:szCs w:val="24"/>
        </w:rPr>
      </w:pPr>
      <w:r>
        <w:rPr>
          <w:rFonts w:hint="eastAsia" w:ascii="楷体" w:hAnsi="楷体" w:eastAsia="楷体" w:cs="楷体"/>
          <w:sz w:val="24"/>
          <w:szCs w:val="24"/>
        </w:rPr>
        <w:t>国家为民营经济组织提供科研基础设施、技术验证、标准规范、质量认证、检验检测、知识产权、示范应用等方面的服务和便利。</w:t>
      </w:r>
    </w:p>
    <w:p w14:paraId="20CE2988">
      <w:pPr>
        <w:ind w:firstLine="472" w:firstLineChars="200"/>
        <w:rPr>
          <w:rFonts w:hint="eastAsia" w:ascii="楷体" w:hAnsi="楷体" w:eastAsia="楷体" w:cs="楷体"/>
          <w:sz w:val="24"/>
          <w:szCs w:val="24"/>
        </w:rPr>
      </w:pPr>
      <w:bookmarkStart w:id="37" w:name="第三十一条"/>
      <w:bookmarkEnd w:id="37"/>
      <w:r>
        <w:rPr>
          <w:rFonts w:hint="eastAsia" w:ascii="楷体" w:hAnsi="楷体" w:eastAsia="楷体" w:cs="楷体"/>
          <w:sz w:val="24"/>
          <w:szCs w:val="24"/>
        </w:rPr>
        <w:t>第三十一条　支持民营经济组织加强新技术应用，开展新技术、新产品、新服务、新模式应用试验，发挥技术市场、中介服务机构作用，通过多种方式推动科技成果应用推广。</w:t>
      </w:r>
    </w:p>
    <w:p w14:paraId="61187062">
      <w:pPr>
        <w:ind w:firstLine="472" w:firstLineChars="200"/>
        <w:rPr>
          <w:rFonts w:hint="eastAsia" w:ascii="楷体" w:hAnsi="楷体" w:eastAsia="楷体" w:cs="楷体"/>
          <w:sz w:val="24"/>
          <w:szCs w:val="24"/>
        </w:rPr>
      </w:pPr>
      <w:r>
        <w:rPr>
          <w:rFonts w:hint="eastAsia" w:ascii="楷体" w:hAnsi="楷体" w:eastAsia="楷体" w:cs="楷体"/>
          <w:sz w:val="24"/>
          <w:szCs w:val="24"/>
        </w:rPr>
        <w:t>鼓励民营经济组织在投资过程中基于商业规则自愿开展技术合作。技术合作的条件由投资各方遵循公平原则协商确定。</w:t>
      </w:r>
    </w:p>
    <w:p w14:paraId="126E317A">
      <w:pPr>
        <w:ind w:firstLine="472" w:firstLineChars="200"/>
        <w:rPr>
          <w:rFonts w:hint="eastAsia" w:ascii="楷体" w:hAnsi="楷体" w:eastAsia="楷体" w:cs="楷体"/>
          <w:sz w:val="24"/>
          <w:szCs w:val="24"/>
        </w:rPr>
      </w:pPr>
      <w:bookmarkStart w:id="38" w:name="第三十二条"/>
      <w:bookmarkEnd w:id="38"/>
      <w:r>
        <w:rPr>
          <w:rFonts w:hint="eastAsia" w:ascii="楷体" w:hAnsi="楷体" w:eastAsia="楷体" w:cs="楷体"/>
          <w:sz w:val="24"/>
          <w:szCs w:val="24"/>
        </w:rPr>
        <w:t>第三十二条　鼓励民营经济组织积极培养使用知识型、技能型、创新型人才，在关键岗位、关键工序培养使用高技能人才，推动产业工人队伍建设。</w:t>
      </w:r>
    </w:p>
    <w:p w14:paraId="308127F5">
      <w:pPr>
        <w:ind w:firstLine="472" w:firstLineChars="200"/>
        <w:rPr>
          <w:rFonts w:hint="eastAsia" w:ascii="楷体" w:hAnsi="楷体" w:eastAsia="楷体" w:cs="楷体"/>
          <w:sz w:val="24"/>
          <w:szCs w:val="24"/>
        </w:rPr>
      </w:pPr>
      <w:bookmarkStart w:id="39" w:name="第三十三条"/>
      <w:bookmarkEnd w:id="39"/>
      <w:r>
        <w:rPr>
          <w:rFonts w:hint="eastAsia" w:ascii="楷体" w:hAnsi="楷体" w:eastAsia="楷体" w:cs="楷体"/>
          <w:sz w:val="24"/>
          <w:szCs w:val="24"/>
        </w:rPr>
        <w:t>第三十三条　国家加强对民营经济组织及其经营者原始创新的保护。加大创新成果知识产权保护力度，实施知识产权侵权惩罚性赔偿制度，依法查处侵犯商标专用权、专利权、著作权和侵犯商业秘密、仿冒混淆等违法行为。</w:t>
      </w:r>
    </w:p>
    <w:p w14:paraId="6F5F3E68">
      <w:pPr>
        <w:ind w:firstLine="472" w:firstLineChars="200"/>
        <w:rPr>
          <w:rFonts w:ascii="Times New Roman" w:hAnsi="Times New Roman" w:eastAsia="宋体" w:cs="宋体"/>
          <w:szCs w:val="32"/>
        </w:rPr>
      </w:pPr>
      <w:r>
        <w:rPr>
          <w:rFonts w:hint="eastAsia" w:ascii="楷体" w:hAnsi="楷体" w:eastAsia="楷体" w:cs="楷体"/>
          <w:sz w:val="24"/>
          <w:szCs w:val="24"/>
        </w:rPr>
        <w:t>加强知识产权保护的区域、部门协作，为民营经济组织提供知识产权快速协同保护、多元纠纷解决、维权援助以及海外知识产权纠纷应对指导和风险预警等服务。</w:t>
      </w:r>
    </w:p>
    <w:p w14:paraId="4C9D7C14">
      <w:pPr>
        <w:jc w:val="center"/>
        <w:rPr>
          <w:rFonts w:hint="eastAsia" w:ascii="楷体" w:hAnsi="楷体" w:eastAsia="楷体" w:cs="楷体"/>
          <w:sz w:val="24"/>
          <w:szCs w:val="24"/>
        </w:rPr>
      </w:pPr>
      <w:bookmarkStart w:id="40" w:name="第五章 规范经营"/>
      <w:bookmarkEnd w:id="40"/>
      <w:r>
        <w:rPr>
          <w:rFonts w:hint="eastAsia" w:ascii="Times New Roman" w:hAnsi="Times New Roman" w:eastAsia="黑体" w:cs="黑体"/>
          <w:sz w:val="28"/>
          <w:szCs w:val="28"/>
        </w:rPr>
        <w:t>第五章　规范经营</w:t>
      </w:r>
    </w:p>
    <w:p w14:paraId="1EFCF0B0">
      <w:pPr>
        <w:ind w:firstLine="472" w:firstLineChars="200"/>
        <w:rPr>
          <w:rFonts w:hint="eastAsia" w:ascii="楷体" w:hAnsi="楷体" w:eastAsia="楷体" w:cs="楷体"/>
          <w:sz w:val="24"/>
          <w:szCs w:val="24"/>
        </w:rPr>
      </w:pPr>
      <w:bookmarkStart w:id="41" w:name="第三十四条"/>
      <w:bookmarkEnd w:id="41"/>
      <w:r>
        <w:rPr>
          <w:rFonts w:hint="eastAsia" w:ascii="楷体" w:hAnsi="楷体" w:eastAsia="楷体" w:cs="楷体"/>
          <w:sz w:val="24"/>
          <w:szCs w:val="24"/>
        </w:rPr>
        <w:t>第三十四条　民营经济组织中的中国共产党的组织和党员，按照中国共产党章程和有关党内法规开展党的活动，在促进民营经济组织健康发展中发挥党组织的政治引领作用和党员先锋模范作用。</w:t>
      </w:r>
    </w:p>
    <w:p w14:paraId="65AD05B8">
      <w:pPr>
        <w:ind w:firstLine="472" w:firstLineChars="200"/>
        <w:rPr>
          <w:rFonts w:hint="eastAsia" w:ascii="楷体" w:hAnsi="楷体" w:eastAsia="楷体" w:cs="楷体"/>
          <w:sz w:val="24"/>
          <w:szCs w:val="24"/>
        </w:rPr>
      </w:pPr>
      <w:bookmarkStart w:id="42" w:name="第三十五条"/>
      <w:bookmarkEnd w:id="42"/>
      <w:r>
        <w:rPr>
          <w:rFonts w:hint="eastAsia" w:ascii="楷体" w:hAnsi="楷体" w:eastAsia="楷体" w:cs="楷体"/>
          <w:sz w:val="24"/>
          <w:szCs w:val="24"/>
        </w:rPr>
        <w:t>第三十五条　民营经济组织应当围绕国家工作大局，在发展经济、扩大就业、改善民生、科技创新等方面积极发挥作用，为满足人民日益增长的美好生活需要贡献力量。</w:t>
      </w:r>
    </w:p>
    <w:p w14:paraId="43AD7FBA">
      <w:pPr>
        <w:ind w:firstLine="472" w:firstLineChars="200"/>
        <w:rPr>
          <w:rFonts w:hint="eastAsia" w:ascii="楷体" w:hAnsi="楷体" w:eastAsia="楷体" w:cs="楷体"/>
          <w:sz w:val="24"/>
          <w:szCs w:val="24"/>
        </w:rPr>
      </w:pPr>
      <w:bookmarkStart w:id="43" w:name="第三十六条"/>
      <w:bookmarkEnd w:id="43"/>
      <w:r>
        <w:rPr>
          <w:rFonts w:hint="eastAsia" w:ascii="楷体" w:hAnsi="楷体" w:eastAsia="楷体" w:cs="楷体"/>
          <w:sz w:val="24"/>
          <w:szCs w:val="24"/>
        </w:rPr>
        <w:t>第三十六条　民营经济组织从事生产经营活动应当遵守劳动用工、安全生产、职业卫生、社会保障、生态环境、质量标准、知识产权、网络和数据安全、财政税收、金融等方面的法律法规；不得通过贿赂和欺诈等手段牟取不正当利益，不得妨害市场和金融秩序、破坏生态环境、损害劳动者合法权益和社会公共利益。</w:t>
      </w:r>
    </w:p>
    <w:p w14:paraId="0AC8DB28">
      <w:pPr>
        <w:ind w:firstLine="472" w:firstLineChars="200"/>
        <w:rPr>
          <w:rFonts w:hint="eastAsia" w:ascii="楷体" w:hAnsi="楷体" w:eastAsia="楷体" w:cs="楷体"/>
          <w:sz w:val="24"/>
          <w:szCs w:val="24"/>
        </w:rPr>
      </w:pPr>
      <w:r>
        <w:rPr>
          <w:rFonts w:hint="eastAsia" w:ascii="楷体" w:hAnsi="楷体" w:eastAsia="楷体" w:cs="楷体"/>
          <w:sz w:val="24"/>
          <w:szCs w:val="24"/>
        </w:rPr>
        <w:t>国家机关依法对民营经济组织生产经营活动实施监督管理。</w:t>
      </w:r>
    </w:p>
    <w:p w14:paraId="08C860A4">
      <w:pPr>
        <w:ind w:firstLine="472" w:firstLineChars="200"/>
        <w:rPr>
          <w:rFonts w:hint="eastAsia" w:ascii="楷体" w:hAnsi="楷体" w:eastAsia="楷体" w:cs="楷体"/>
          <w:sz w:val="24"/>
          <w:szCs w:val="24"/>
        </w:rPr>
      </w:pPr>
      <w:bookmarkStart w:id="44" w:name="第三十七条"/>
      <w:bookmarkEnd w:id="44"/>
      <w:r>
        <w:rPr>
          <w:rFonts w:hint="eastAsia" w:ascii="楷体" w:hAnsi="楷体" w:eastAsia="楷体" w:cs="楷体"/>
          <w:sz w:val="24"/>
          <w:szCs w:val="24"/>
        </w:rPr>
        <w:t>第三十七条　支持民营资本服务经济社会发展，完善资本行为制度规则，依法规范和引导民营资本健康发展，维护社会主义市场经济秩序和社会公共利益。支持民营经济组织加强风险防范管理，鼓励民营经济组织做优主业、做强实业，提升核心竞争力。</w:t>
      </w:r>
    </w:p>
    <w:p w14:paraId="1DC4A9CF">
      <w:pPr>
        <w:ind w:firstLine="472" w:firstLineChars="200"/>
        <w:rPr>
          <w:rFonts w:hint="eastAsia" w:ascii="楷体" w:hAnsi="楷体" w:eastAsia="楷体" w:cs="楷体"/>
          <w:sz w:val="24"/>
          <w:szCs w:val="24"/>
        </w:rPr>
      </w:pPr>
      <w:bookmarkStart w:id="45" w:name="第三十八条"/>
      <w:bookmarkEnd w:id="45"/>
      <w:r>
        <w:rPr>
          <w:rFonts w:hint="eastAsia" w:ascii="楷体" w:hAnsi="楷体" w:eastAsia="楷体" w:cs="楷体"/>
          <w:sz w:val="24"/>
          <w:szCs w:val="24"/>
        </w:rPr>
        <w:t>第三十八条　民营经济组织应当完善治理结构和管理制度、规范经营者行为、强化内部监督，实现规范治理；依法建立健全以职工代表大会为基本形式的民主管理制度。鼓励有条件的民营经济组织建立完善中国特色现代企业制度。</w:t>
      </w:r>
    </w:p>
    <w:p w14:paraId="23126539">
      <w:pPr>
        <w:ind w:firstLine="472" w:firstLineChars="200"/>
        <w:rPr>
          <w:rFonts w:hint="eastAsia" w:ascii="楷体" w:hAnsi="楷体" w:eastAsia="楷体" w:cs="楷体"/>
          <w:sz w:val="24"/>
          <w:szCs w:val="24"/>
        </w:rPr>
      </w:pPr>
      <w:r>
        <w:rPr>
          <w:rFonts w:hint="eastAsia" w:ascii="楷体" w:hAnsi="楷体" w:eastAsia="楷体" w:cs="楷体"/>
          <w:sz w:val="24"/>
          <w:szCs w:val="24"/>
        </w:rPr>
        <w:t>民营经济组织中的工会等群团组织依照法律和章程开展活动，加强职工思想政治引领，维护职工合法权益，发挥在企业民主管理中的作用，推动完善企业工资集体协商制度，促进构建和谐劳动关系。</w:t>
      </w:r>
    </w:p>
    <w:p w14:paraId="60668C51">
      <w:pPr>
        <w:ind w:firstLine="472" w:firstLineChars="200"/>
        <w:rPr>
          <w:rFonts w:hint="eastAsia" w:ascii="楷体" w:hAnsi="楷体" w:eastAsia="楷体" w:cs="楷体"/>
          <w:sz w:val="24"/>
          <w:szCs w:val="24"/>
        </w:rPr>
      </w:pPr>
      <w:r>
        <w:rPr>
          <w:rFonts w:hint="eastAsia" w:ascii="楷体" w:hAnsi="楷体" w:eastAsia="楷体" w:cs="楷体"/>
          <w:sz w:val="24"/>
          <w:szCs w:val="24"/>
        </w:rPr>
        <w:t>民营经济组织的组织形式、组织机构及其活动准则，</w:t>
      </w:r>
      <w:r>
        <w:rPr>
          <w:rFonts w:hint="eastAsia" w:ascii="楷体" w:hAnsi="楷体" w:eastAsia="楷体" w:cs="楷体"/>
          <w:color w:val="0000FF"/>
          <w:sz w:val="24"/>
          <w:szCs w:val="24"/>
        </w:rPr>
        <w:t>适用《中华人民共和国公司法》、《中华人民共和国合伙企业法》、《中华人民共和国个人独资企业法》等法律的规定。</w:t>
      </w:r>
    </w:p>
    <w:p w14:paraId="0BE193E5">
      <w:pPr>
        <w:ind w:firstLine="472" w:firstLineChars="200"/>
        <w:rPr>
          <w:rFonts w:hint="eastAsia" w:ascii="楷体" w:hAnsi="楷体" w:eastAsia="楷体" w:cs="楷体"/>
          <w:sz w:val="24"/>
          <w:szCs w:val="24"/>
        </w:rPr>
      </w:pPr>
      <w:bookmarkStart w:id="46" w:name="第三十九条"/>
      <w:bookmarkEnd w:id="46"/>
      <w:r>
        <w:rPr>
          <w:rFonts w:hint="eastAsia" w:ascii="楷体" w:hAnsi="楷体" w:eastAsia="楷体" w:cs="楷体"/>
          <w:sz w:val="24"/>
          <w:szCs w:val="24"/>
        </w:rPr>
        <w:t>第三十九条　国家推动构建民营经济组织源头防范和治理腐败的体制机制，支持引导民营经济组织建立健全内部审计制度，加强廉洁风险防控，推动民营经济组织提升依法合规经营管理水平，及时预防、发现、治理经营中违法违规等问题。</w:t>
      </w:r>
    </w:p>
    <w:p w14:paraId="35F647B8">
      <w:pPr>
        <w:ind w:firstLine="472" w:firstLineChars="200"/>
        <w:rPr>
          <w:rFonts w:hint="eastAsia" w:ascii="楷体" w:hAnsi="楷体" w:eastAsia="楷体" w:cs="楷体"/>
          <w:sz w:val="24"/>
          <w:szCs w:val="24"/>
        </w:rPr>
      </w:pPr>
      <w:r>
        <w:rPr>
          <w:rFonts w:hint="eastAsia" w:ascii="楷体" w:hAnsi="楷体" w:eastAsia="楷体" w:cs="楷体"/>
          <w:sz w:val="24"/>
          <w:szCs w:val="24"/>
        </w:rPr>
        <w:t>民营经济组织应当加强对工作人员的法治教育，营造诚信廉洁、守法合规的文化氛围。</w:t>
      </w:r>
    </w:p>
    <w:p w14:paraId="43F6DC70">
      <w:pPr>
        <w:ind w:firstLine="472" w:firstLineChars="200"/>
        <w:rPr>
          <w:rFonts w:hint="eastAsia" w:ascii="楷体" w:hAnsi="楷体" w:eastAsia="楷体" w:cs="楷体"/>
          <w:color w:val="0000FF"/>
          <w:sz w:val="24"/>
          <w:szCs w:val="24"/>
        </w:rPr>
      </w:pPr>
      <w:bookmarkStart w:id="47" w:name="第四十条"/>
      <w:bookmarkEnd w:id="47"/>
      <w:r>
        <w:rPr>
          <w:rFonts w:hint="eastAsia" w:ascii="楷体" w:hAnsi="楷体" w:eastAsia="楷体" w:cs="楷体"/>
          <w:sz w:val="24"/>
          <w:szCs w:val="24"/>
        </w:rPr>
        <w:t>第四十条　</w:t>
      </w:r>
      <w:r>
        <w:rPr>
          <w:rFonts w:hint="eastAsia" w:ascii="楷体" w:hAnsi="楷体" w:eastAsia="楷体" w:cs="楷体"/>
          <w:color w:val="0000FF"/>
          <w:sz w:val="24"/>
          <w:szCs w:val="24"/>
        </w:rPr>
        <w:t>民营经济组织应当依照法律、行政法规和国家统一的会计制度</w:t>
      </w:r>
      <w:r>
        <w:rPr>
          <w:rFonts w:hint="eastAsia" w:ascii="楷体" w:hAnsi="楷体" w:eastAsia="楷体" w:cs="楷体"/>
          <w:sz w:val="24"/>
          <w:szCs w:val="24"/>
        </w:rPr>
        <w:t>，</w:t>
      </w:r>
      <w:r>
        <w:rPr>
          <w:rFonts w:hint="eastAsia" w:ascii="楷体" w:hAnsi="楷体" w:eastAsia="楷体" w:cs="楷体"/>
          <w:color w:val="0000FF"/>
          <w:sz w:val="24"/>
          <w:szCs w:val="24"/>
        </w:rPr>
        <w:t>加强财务管理，规范会计核算，防止财务造假，并区分民营经济组织生产经营收支与民营经济组织经营者个人收支，实现民营经济组织财产与民营经济组织经营者个人财产分离。</w:t>
      </w:r>
    </w:p>
    <w:p w14:paraId="7D755D90">
      <w:pPr>
        <w:ind w:firstLine="472" w:firstLineChars="200"/>
        <w:rPr>
          <w:rFonts w:hint="eastAsia" w:ascii="楷体" w:hAnsi="楷体" w:eastAsia="楷体" w:cs="楷体"/>
          <w:sz w:val="24"/>
          <w:szCs w:val="24"/>
        </w:rPr>
      </w:pPr>
      <w:bookmarkStart w:id="48" w:name="第四十一条"/>
      <w:bookmarkEnd w:id="48"/>
      <w:r>
        <w:rPr>
          <w:rFonts w:hint="eastAsia" w:ascii="楷体" w:hAnsi="楷体" w:eastAsia="楷体" w:cs="楷体"/>
          <w:sz w:val="24"/>
          <w:szCs w:val="24"/>
        </w:rPr>
        <w:t>第四十一条　支持民营经济组织通过加强技能培训、扩大吸纳就业、完善工资分配制度等，促进员工共享发展成果。</w:t>
      </w:r>
    </w:p>
    <w:p w14:paraId="16F517E0">
      <w:pPr>
        <w:ind w:firstLine="472" w:firstLineChars="200"/>
        <w:rPr>
          <w:rFonts w:hint="eastAsia" w:ascii="楷体" w:hAnsi="楷体" w:eastAsia="楷体" w:cs="楷体"/>
          <w:sz w:val="24"/>
          <w:szCs w:val="24"/>
        </w:rPr>
      </w:pPr>
      <w:bookmarkStart w:id="49" w:name="第四十二条"/>
      <w:bookmarkEnd w:id="49"/>
      <w:r>
        <w:rPr>
          <w:rFonts w:hint="eastAsia" w:ascii="楷体" w:hAnsi="楷体" w:eastAsia="楷体" w:cs="楷体"/>
          <w:sz w:val="24"/>
          <w:szCs w:val="24"/>
        </w:rPr>
        <w:t>第四十二条　探索建立民营经济组织的社会责任评价体系和激励机制，鼓励、引导民营经济组织积极履行社会责任，自愿参与公益慈善事业、应急救灾等活动。</w:t>
      </w:r>
    </w:p>
    <w:p w14:paraId="7DC3DE97">
      <w:pPr>
        <w:ind w:firstLine="472" w:firstLineChars="200"/>
        <w:rPr>
          <w:rFonts w:ascii="Times New Roman" w:hAnsi="Times New Roman" w:eastAsia="宋体" w:cs="宋体"/>
          <w:szCs w:val="32"/>
        </w:rPr>
      </w:pPr>
      <w:bookmarkStart w:id="50" w:name="第四十三条"/>
      <w:bookmarkEnd w:id="50"/>
      <w:r>
        <w:rPr>
          <w:rFonts w:hint="eastAsia" w:ascii="楷体" w:hAnsi="楷体" w:eastAsia="楷体" w:cs="楷体"/>
          <w:sz w:val="24"/>
          <w:szCs w:val="24"/>
        </w:rPr>
        <w:t>第四十三条　民营经济组织及其经营者在海外投资经营应当遵守所在国家或者地区的法律，尊重当地习俗和文化传统，维护国家形象，不得从事损害国家安全和国家利益的活动。</w:t>
      </w:r>
    </w:p>
    <w:p w14:paraId="4F7D0A87">
      <w:pPr>
        <w:jc w:val="center"/>
        <w:rPr>
          <w:rFonts w:ascii="Times New Roman" w:hAnsi="Times New Roman" w:eastAsia="宋体" w:cs="宋体"/>
          <w:szCs w:val="32"/>
        </w:rPr>
      </w:pPr>
      <w:bookmarkStart w:id="51" w:name="第六章 服务保障"/>
      <w:bookmarkEnd w:id="51"/>
      <w:r>
        <w:rPr>
          <w:rFonts w:hint="eastAsia" w:ascii="Times New Roman" w:hAnsi="Times New Roman" w:eastAsia="黑体" w:cs="黑体"/>
          <w:sz w:val="28"/>
          <w:szCs w:val="28"/>
        </w:rPr>
        <w:t>第六章　服务保障</w:t>
      </w:r>
    </w:p>
    <w:p w14:paraId="22D23C33">
      <w:pPr>
        <w:ind w:firstLine="472" w:firstLineChars="200"/>
        <w:rPr>
          <w:rFonts w:hint="eastAsia" w:ascii="楷体" w:hAnsi="楷体" w:eastAsia="楷体" w:cs="楷体"/>
          <w:sz w:val="24"/>
          <w:szCs w:val="24"/>
        </w:rPr>
      </w:pPr>
      <w:bookmarkStart w:id="52" w:name="第四十四条"/>
      <w:bookmarkEnd w:id="52"/>
      <w:r>
        <w:rPr>
          <w:rFonts w:hint="eastAsia" w:ascii="楷体" w:hAnsi="楷体" w:eastAsia="楷体" w:cs="楷体"/>
          <w:sz w:val="24"/>
          <w:szCs w:val="24"/>
        </w:rPr>
        <w:t>第四十四条　国家机关及其工作人员在促进民营经济发展工作中，应当依法履职尽责。国家机关工作人员与民营经济组织经营者在工作交往中，应当遵纪守法，保持清正廉洁。</w:t>
      </w:r>
    </w:p>
    <w:p w14:paraId="49A5AA16">
      <w:pPr>
        <w:ind w:firstLine="472" w:firstLineChars="200"/>
        <w:rPr>
          <w:rFonts w:hint="eastAsia" w:ascii="楷体" w:hAnsi="楷体" w:eastAsia="楷体" w:cs="楷体"/>
          <w:sz w:val="24"/>
          <w:szCs w:val="24"/>
        </w:rPr>
      </w:pPr>
      <w:r>
        <w:rPr>
          <w:rFonts w:hint="eastAsia" w:ascii="楷体" w:hAnsi="楷体" w:eastAsia="楷体" w:cs="楷体"/>
          <w:sz w:val="24"/>
          <w:szCs w:val="24"/>
        </w:rPr>
        <w:t>各级人民政府及其有关部门建立畅通有效的政企沟通机制，及时听取包括民营经济组织在内各类经济组织的意见建议，解决其反映的合理问题。</w:t>
      </w:r>
    </w:p>
    <w:p w14:paraId="622890A3">
      <w:pPr>
        <w:ind w:firstLine="472" w:firstLineChars="200"/>
        <w:rPr>
          <w:rFonts w:hint="eastAsia" w:ascii="楷体" w:hAnsi="楷体" w:eastAsia="楷体" w:cs="楷体"/>
          <w:sz w:val="24"/>
          <w:szCs w:val="24"/>
        </w:rPr>
      </w:pPr>
      <w:bookmarkStart w:id="53" w:name="第四十五条"/>
      <w:bookmarkEnd w:id="53"/>
      <w:r>
        <w:rPr>
          <w:rFonts w:hint="eastAsia" w:ascii="楷体" w:hAnsi="楷体" w:eastAsia="楷体" w:cs="楷体"/>
          <w:sz w:val="24"/>
          <w:szCs w:val="24"/>
        </w:rPr>
        <w:t>第四十五条　国家机关制定与经营主体生产经营活动密切相关的法律、法规、规章和其他规范性文件，最高人民法院、最高人民检察院作出属于审判、检察工作中具体应用法律的相关解释，或者作出有关重大决策，应当注重听取包括民营经济组织在内各类经济组织、行业协会商会的意见建议；在实施前应当根据实际情况留出必要的适应调整期。</w:t>
      </w:r>
    </w:p>
    <w:p w14:paraId="08E0CA4A">
      <w:pPr>
        <w:ind w:firstLine="472" w:firstLineChars="200"/>
        <w:rPr>
          <w:rFonts w:hint="eastAsia" w:ascii="楷体" w:hAnsi="楷体" w:eastAsia="楷体" w:cs="楷体"/>
          <w:sz w:val="24"/>
          <w:szCs w:val="24"/>
        </w:rPr>
      </w:pPr>
      <w:r>
        <w:rPr>
          <w:rFonts w:hint="eastAsia" w:ascii="楷体" w:hAnsi="楷体" w:eastAsia="楷体" w:cs="楷体"/>
          <w:sz w:val="24"/>
          <w:szCs w:val="24"/>
        </w:rPr>
        <w:t>根据《中华人民共和国立法法》的规定，与经营主体生产经营活动密切相关的法律、法规、规章和其他规范性文件，属于审判、检察工作中具体应用法律的解释，不溯及既往，但为了更好地保护公民、法人和其他组织的权利和利益而作的特别规定除外。</w:t>
      </w:r>
    </w:p>
    <w:p w14:paraId="088952D3">
      <w:pPr>
        <w:ind w:firstLine="472" w:firstLineChars="200"/>
        <w:rPr>
          <w:rFonts w:hint="eastAsia" w:ascii="楷体" w:hAnsi="楷体" w:eastAsia="楷体" w:cs="楷体"/>
          <w:sz w:val="24"/>
          <w:szCs w:val="24"/>
        </w:rPr>
      </w:pPr>
      <w:bookmarkStart w:id="54" w:name="第四十六条"/>
      <w:bookmarkEnd w:id="54"/>
      <w:r>
        <w:rPr>
          <w:rFonts w:hint="eastAsia" w:ascii="楷体" w:hAnsi="楷体" w:eastAsia="楷体" w:cs="楷体"/>
          <w:sz w:val="24"/>
          <w:szCs w:val="24"/>
        </w:rPr>
        <w:t>第四十六条　各级人民政府及其有关部门应当及时向社会公开涉及经营主体的优惠政策适用范围、标准、条件和申请程序等，为民营经济组织申请享受有关优惠政策提供便利。</w:t>
      </w:r>
    </w:p>
    <w:p w14:paraId="1EF77F2F">
      <w:pPr>
        <w:ind w:firstLine="472" w:firstLineChars="200"/>
        <w:rPr>
          <w:rFonts w:hint="eastAsia" w:ascii="楷体" w:hAnsi="楷体" w:eastAsia="楷体" w:cs="楷体"/>
          <w:sz w:val="24"/>
          <w:szCs w:val="24"/>
        </w:rPr>
      </w:pPr>
      <w:bookmarkStart w:id="55" w:name="第四十七条"/>
      <w:bookmarkEnd w:id="55"/>
      <w:r>
        <w:rPr>
          <w:rFonts w:hint="eastAsia" w:ascii="楷体" w:hAnsi="楷体" w:eastAsia="楷体" w:cs="楷体"/>
          <w:sz w:val="24"/>
          <w:szCs w:val="24"/>
        </w:rPr>
        <w:t>第四十七条　各级人民政府及其有关部门制定鼓励民营经济组织创业的政策，提供公共服务，鼓励创业带动就业。</w:t>
      </w:r>
    </w:p>
    <w:p w14:paraId="5B75DB37">
      <w:pPr>
        <w:ind w:firstLine="472" w:firstLineChars="200"/>
        <w:rPr>
          <w:rFonts w:hint="eastAsia" w:ascii="楷体" w:hAnsi="楷体" w:eastAsia="楷体" w:cs="楷体"/>
          <w:sz w:val="24"/>
          <w:szCs w:val="24"/>
        </w:rPr>
      </w:pPr>
      <w:bookmarkStart w:id="56" w:name="第四十八条"/>
      <w:bookmarkEnd w:id="56"/>
      <w:r>
        <w:rPr>
          <w:rFonts w:hint="eastAsia" w:ascii="楷体" w:hAnsi="楷体" w:eastAsia="楷体" w:cs="楷体"/>
          <w:sz w:val="24"/>
          <w:szCs w:val="24"/>
        </w:rPr>
        <w:t>第四十八条　登记机关应当为包括民营经济组织在内的各类经济组织提供依法合规、规范统一、公开透明、便捷高效的设立、变更、注销等登记服务，降低市场进入和退出成本。</w:t>
      </w:r>
    </w:p>
    <w:p w14:paraId="41E42A96">
      <w:pPr>
        <w:ind w:firstLine="472" w:firstLineChars="200"/>
        <w:rPr>
          <w:rFonts w:hint="eastAsia" w:ascii="楷体" w:hAnsi="楷体" w:eastAsia="楷体" w:cs="楷体"/>
          <w:sz w:val="24"/>
          <w:szCs w:val="24"/>
        </w:rPr>
      </w:pPr>
      <w:r>
        <w:rPr>
          <w:rFonts w:hint="eastAsia" w:ascii="楷体" w:hAnsi="楷体" w:eastAsia="楷体" w:cs="楷体"/>
          <w:sz w:val="24"/>
          <w:szCs w:val="24"/>
        </w:rPr>
        <w:t>个体工商户可以自愿依法转型为企业。登记机关、税务机关和有关部门为个体工商户转型为企业提供指引和便利。</w:t>
      </w:r>
    </w:p>
    <w:p w14:paraId="782AABE4">
      <w:pPr>
        <w:ind w:firstLine="472" w:firstLineChars="200"/>
        <w:rPr>
          <w:rFonts w:hint="eastAsia" w:ascii="楷体" w:hAnsi="楷体" w:eastAsia="楷体" w:cs="楷体"/>
          <w:sz w:val="24"/>
          <w:szCs w:val="24"/>
        </w:rPr>
      </w:pPr>
      <w:bookmarkStart w:id="57" w:name="第四十九条"/>
      <w:bookmarkEnd w:id="57"/>
      <w:r>
        <w:rPr>
          <w:rFonts w:hint="eastAsia" w:ascii="楷体" w:hAnsi="楷体" w:eastAsia="楷体" w:cs="楷体"/>
          <w:sz w:val="24"/>
          <w:szCs w:val="24"/>
        </w:rPr>
        <w:t>第四十九条　鼓励、支持高等学校、科研院所、职业学校、公共实训基地和各类职业技能培训机构创新人才培养模式，加强职业教育和培训，培养符合民营经济高质量发展需求的专业人才和产业工人。</w:t>
      </w:r>
    </w:p>
    <w:p w14:paraId="4CD1B4EA">
      <w:pPr>
        <w:ind w:firstLine="472" w:firstLineChars="200"/>
        <w:rPr>
          <w:rFonts w:hint="eastAsia" w:ascii="楷体" w:hAnsi="楷体" w:eastAsia="楷体" w:cs="楷体"/>
          <w:sz w:val="24"/>
          <w:szCs w:val="24"/>
        </w:rPr>
      </w:pPr>
      <w:r>
        <w:rPr>
          <w:rFonts w:hint="eastAsia" w:ascii="楷体" w:hAnsi="楷体" w:eastAsia="楷体" w:cs="楷体"/>
          <w:sz w:val="24"/>
          <w:szCs w:val="24"/>
        </w:rPr>
        <w:t>人力资源和社会保障部门建立健全人力资源服务机制，搭建用工和求职信息对接平台，为民营经济组织招工用工提供便利。</w:t>
      </w:r>
    </w:p>
    <w:p w14:paraId="6360DB2C">
      <w:pPr>
        <w:ind w:firstLine="472" w:firstLineChars="200"/>
        <w:rPr>
          <w:rFonts w:hint="eastAsia" w:ascii="楷体" w:hAnsi="楷体" w:eastAsia="楷体" w:cs="楷体"/>
          <w:sz w:val="24"/>
          <w:szCs w:val="24"/>
        </w:rPr>
      </w:pPr>
      <w:r>
        <w:rPr>
          <w:rFonts w:hint="eastAsia" w:ascii="楷体" w:hAnsi="楷体" w:eastAsia="楷体" w:cs="楷体"/>
          <w:sz w:val="24"/>
          <w:szCs w:val="24"/>
        </w:rPr>
        <w:t>各级人民政府及其有关部门完善人才激励和服务保障政策措施，畅通民营经济组织职称评审渠道，为民营经济组织引进、培养高层次及紧缺人才提供支持。</w:t>
      </w:r>
    </w:p>
    <w:p w14:paraId="6A414276">
      <w:pPr>
        <w:ind w:firstLine="472" w:firstLineChars="200"/>
        <w:rPr>
          <w:rFonts w:hint="eastAsia" w:ascii="楷体" w:hAnsi="楷体" w:eastAsia="楷体" w:cs="楷体"/>
          <w:sz w:val="24"/>
          <w:szCs w:val="24"/>
        </w:rPr>
      </w:pPr>
      <w:bookmarkStart w:id="58" w:name="第五十条"/>
      <w:bookmarkEnd w:id="58"/>
      <w:r>
        <w:rPr>
          <w:rFonts w:hint="eastAsia" w:ascii="楷体" w:hAnsi="楷体" w:eastAsia="楷体" w:cs="楷体"/>
          <w:sz w:val="24"/>
          <w:szCs w:val="24"/>
        </w:rPr>
        <w:t>第五十条　行政机关坚持依法行政。行政机关开展执法活动应当避免或者尽量减少对民营经济组织正常生产经营活动的影响，并对其合理、合法诉求及时响应、处置。</w:t>
      </w:r>
    </w:p>
    <w:p w14:paraId="2771EF9B">
      <w:pPr>
        <w:ind w:firstLine="472" w:firstLineChars="200"/>
        <w:rPr>
          <w:rFonts w:hint="eastAsia" w:ascii="楷体" w:hAnsi="楷体" w:eastAsia="楷体" w:cs="楷体"/>
          <w:sz w:val="24"/>
          <w:szCs w:val="24"/>
        </w:rPr>
      </w:pPr>
      <w:bookmarkStart w:id="59" w:name="第五十一条"/>
      <w:bookmarkEnd w:id="59"/>
      <w:r>
        <w:rPr>
          <w:rFonts w:hint="eastAsia" w:ascii="楷体" w:hAnsi="楷体" w:eastAsia="楷体" w:cs="楷体"/>
          <w:sz w:val="24"/>
          <w:szCs w:val="24"/>
        </w:rPr>
        <w:t>第五十一条　对民营经济组织及其经营者违法行为的行政处罚应当按照与其他经济组织及其经营者同等原则实施。对违法行为依法需要实施行政处罚或者采取其他措施的，应当与违法行为的事实、性质、情节以及社会危害程度相当。违法行为具有《中华人民共和国行政处罚法》规定的从轻、减轻或者不予处罚情形的，依照其规定从轻、减轻或者不予处罚。</w:t>
      </w:r>
    </w:p>
    <w:p w14:paraId="0EDC6642">
      <w:pPr>
        <w:ind w:firstLine="472" w:firstLineChars="200"/>
        <w:rPr>
          <w:rFonts w:hint="eastAsia" w:ascii="楷体" w:hAnsi="楷体" w:eastAsia="楷体" w:cs="楷体"/>
          <w:sz w:val="24"/>
          <w:szCs w:val="24"/>
        </w:rPr>
      </w:pPr>
      <w:bookmarkStart w:id="60" w:name="第五十二条"/>
      <w:bookmarkEnd w:id="60"/>
      <w:r>
        <w:rPr>
          <w:rFonts w:hint="eastAsia" w:ascii="楷体" w:hAnsi="楷体" w:eastAsia="楷体" w:cs="楷体"/>
          <w:sz w:val="24"/>
          <w:szCs w:val="24"/>
        </w:rPr>
        <w:t>第五十二条　各级人民政府及其有关部门推动监管信息共享互认，根据民营经济组织的信用状况实施分级分类监管，提升监管效能。</w:t>
      </w:r>
    </w:p>
    <w:p w14:paraId="687A6626">
      <w:pPr>
        <w:ind w:firstLine="472" w:firstLineChars="200"/>
        <w:rPr>
          <w:rFonts w:hint="eastAsia" w:ascii="楷体" w:hAnsi="楷体" w:eastAsia="楷体" w:cs="楷体"/>
          <w:sz w:val="24"/>
          <w:szCs w:val="24"/>
        </w:rPr>
      </w:pPr>
      <w:r>
        <w:rPr>
          <w:rFonts w:hint="eastAsia" w:ascii="楷体" w:hAnsi="楷体" w:eastAsia="楷体" w:cs="楷体"/>
          <w:sz w:val="24"/>
          <w:szCs w:val="24"/>
        </w:rPr>
        <w:t>除直接涉及公共安全和人民群众生命健康等特殊行业、重点领域依法依规实行全覆盖的重点监管外，市场监管领域相关部门的行政检查应当通过随机抽取检查对象、随机选派执法检查人员的方式进行，抽查事项及查处结果及时向社会公开。针对同一检查对象的多个检查事项，应当尽可能合并或者纳入跨部门联合检查范围。</w:t>
      </w:r>
    </w:p>
    <w:p w14:paraId="31608567">
      <w:pPr>
        <w:ind w:firstLine="472" w:firstLineChars="200"/>
        <w:rPr>
          <w:rFonts w:hint="eastAsia" w:ascii="楷体" w:hAnsi="楷体" w:eastAsia="楷体" w:cs="楷体"/>
          <w:sz w:val="24"/>
          <w:szCs w:val="24"/>
        </w:rPr>
      </w:pPr>
      <w:bookmarkStart w:id="61" w:name="第五十三条"/>
      <w:bookmarkEnd w:id="61"/>
      <w:r>
        <w:rPr>
          <w:rFonts w:hint="eastAsia" w:ascii="楷体" w:hAnsi="楷体" w:eastAsia="楷体" w:cs="楷体"/>
          <w:sz w:val="24"/>
          <w:szCs w:val="24"/>
        </w:rPr>
        <w:t>第五十三条　各级人民政府及其有关部门建立健全行政执法违法行为投诉举报处理机制，及时受理并依法处理投诉举报，保护民营经济组织及其经营者合法权益。</w:t>
      </w:r>
    </w:p>
    <w:p w14:paraId="6694DAE6">
      <w:pPr>
        <w:ind w:firstLine="472" w:firstLineChars="200"/>
        <w:rPr>
          <w:rFonts w:hint="eastAsia" w:ascii="楷体" w:hAnsi="楷体" w:eastAsia="楷体" w:cs="楷体"/>
          <w:sz w:val="24"/>
          <w:szCs w:val="24"/>
        </w:rPr>
      </w:pPr>
      <w:r>
        <w:rPr>
          <w:rFonts w:hint="eastAsia" w:ascii="楷体" w:hAnsi="楷体" w:eastAsia="楷体" w:cs="楷体"/>
          <w:sz w:val="24"/>
          <w:szCs w:val="24"/>
        </w:rPr>
        <w:t>司法行政部门建立涉企行政执法诉求沟通机制，组织开展行政执法检查，加强对行政执法活动的监督，及时纠正不当行政执法行为。</w:t>
      </w:r>
    </w:p>
    <w:p w14:paraId="6883CFD2">
      <w:pPr>
        <w:ind w:firstLine="472" w:firstLineChars="200"/>
        <w:rPr>
          <w:rFonts w:hint="eastAsia" w:ascii="楷体" w:hAnsi="楷体" w:eastAsia="楷体" w:cs="楷体"/>
          <w:sz w:val="24"/>
          <w:szCs w:val="24"/>
        </w:rPr>
      </w:pPr>
      <w:bookmarkStart w:id="62" w:name="第五十四条"/>
      <w:bookmarkEnd w:id="62"/>
      <w:r>
        <w:rPr>
          <w:rFonts w:hint="eastAsia" w:ascii="楷体" w:hAnsi="楷体" w:eastAsia="楷体" w:cs="楷体"/>
          <w:sz w:val="24"/>
          <w:szCs w:val="24"/>
        </w:rPr>
        <w:t>第五十四条　健全失信惩戒和信用修复制度。实施失信惩戒，应当依照法律、法规和有关规定，并根据失信行为的事实、性质、轻重程度等采取适度的惩戒措施。</w:t>
      </w:r>
    </w:p>
    <w:p w14:paraId="41E08A0A">
      <w:pPr>
        <w:ind w:firstLine="472" w:firstLineChars="200"/>
        <w:rPr>
          <w:rFonts w:hint="eastAsia" w:ascii="楷体" w:hAnsi="楷体" w:eastAsia="楷体" w:cs="楷体"/>
          <w:sz w:val="24"/>
          <w:szCs w:val="24"/>
        </w:rPr>
      </w:pPr>
      <w:r>
        <w:rPr>
          <w:rFonts w:hint="eastAsia" w:ascii="楷体" w:hAnsi="楷体" w:eastAsia="楷体" w:cs="楷体"/>
          <w:sz w:val="24"/>
          <w:szCs w:val="24"/>
        </w:rPr>
        <w:t>民营经济组织及其经营者纠正失信行为、消除不良影响、符合信用修复条件的，可以提出信用修复申请。有关国家机关应当依法及时解除惩戒措施，移除或者终止失信信息公示，并在相关公共信用信息平台实现协同修复。</w:t>
      </w:r>
    </w:p>
    <w:p w14:paraId="0281E17E">
      <w:pPr>
        <w:ind w:firstLine="472" w:firstLineChars="200"/>
        <w:rPr>
          <w:rFonts w:hint="eastAsia" w:ascii="楷体" w:hAnsi="楷体" w:eastAsia="楷体" w:cs="楷体"/>
          <w:sz w:val="24"/>
          <w:szCs w:val="24"/>
        </w:rPr>
      </w:pPr>
      <w:bookmarkStart w:id="63" w:name="第五十五条"/>
      <w:bookmarkEnd w:id="63"/>
      <w:r>
        <w:rPr>
          <w:rFonts w:hint="eastAsia" w:ascii="楷体" w:hAnsi="楷体" w:eastAsia="楷体" w:cs="楷体"/>
          <w:sz w:val="24"/>
          <w:szCs w:val="24"/>
        </w:rPr>
        <w:t>第五十五条　建立健全矛盾纠纷多元化解机制，为民营经济组织维护合法权益提供便利。</w:t>
      </w:r>
    </w:p>
    <w:p w14:paraId="2BF34923">
      <w:pPr>
        <w:ind w:firstLine="472" w:firstLineChars="200"/>
        <w:rPr>
          <w:rFonts w:hint="eastAsia" w:ascii="楷体" w:hAnsi="楷体" w:eastAsia="楷体" w:cs="楷体"/>
          <w:sz w:val="24"/>
          <w:szCs w:val="24"/>
        </w:rPr>
      </w:pPr>
      <w:r>
        <w:rPr>
          <w:rFonts w:hint="eastAsia" w:ascii="楷体" w:hAnsi="楷体" w:eastAsia="楷体" w:cs="楷体"/>
          <w:sz w:val="24"/>
          <w:szCs w:val="24"/>
        </w:rPr>
        <w:t>司法行政部门组织协调律师、公证、司法鉴定、基层法律服务、人民调解、商事调解、仲裁等相关机构和法律咨询专家，参与涉及民营经济组织纠纷的化解，为民营经济组织提供有针对性的法律服务。</w:t>
      </w:r>
    </w:p>
    <w:p w14:paraId="41432DAC">
      <w:pPr>
        <w:ind w:firstLine="472" w:firstLineChars="200"/>
        <w:rPr>
          <w:rFonts w:hint="eastAsia" w:ascii="楷体" w:hAnsi="楷体" w:eastAsia="楷体" w:cs="楷体"/>
          <w:sz w:val="24"/>
          <w:szCs w:val="24"/>
        </w:rPr>
      </w:pPr>
      <w:bookmarkStart w:id="64" w:name="第五十六条"/>
      <w:bookmarkEnd w:id="64"/>
      <w:r>
        <w:rPr>
          <w:rFonts w:hint="eastAsia" w:ascii="楷体" w:hAnsi="楷体" w:eastAsia="楷体" w:cs="楷体"/>
          <w:sz w:val="24"/>
          <w:szCs w:val="24"/>
        </w:rPr>
        <w:t>第五十六条　有关行业协会商会依照法律、法规和章程，发挥协调和自律作用，及时反映行业诉求，为民营经济组织及其经营者提供信息咨询、宣传培训、市场拓展、权益保护、纠纷处理等方面的服务。</w:t>
      </w:r>
    </w:p>
    <w:p w14:paraId="7C02CE28">
      <w:pPr>
        <w:ind w:firstLine="472" w:firstLineChars="200"/>
        <w:rPr>
          <w:rFonts w:ascii="Times New Roman" w:hAnsi="Times New Roman" w:eastAsia="宋体" w:cs="宋体"/>
          <w:szCs w:val="32"/>
        </w:rPr>
      </w:pPr>
      <w:bookmarkStart w:id="65" w:name="第五十七条"/>
      <w:bookmarkEnd w:id="65"/>
      <w:r>
        <w:rPr>
          <w:rFonts w:hint="eastAsia" w:ascii="楷体" w:hAnsi="楷体" w:eastAsia="楷体" w:cs="楷体"/>
          <w:sz w:val="24"/>
          <w:szCs w:val="24"/>
        </w:rPr>
        <w:t>第五十七条　国家坚持高水平对外开放，加快构建以国内大循环为主体、国内国际双循环相互促进的新发展格局；支持、引导民营经济组织拓展国际交流合作，在海外依法合规开展投资经营等活动；加强法律、金融、物流等海外综合服务，完善海外利益保障机制，维护民营经济组织及其经营者海外合法权益。</w:t>
      </w:r>
    </w:p>
    <w:p w14:paraId="47A60898">
      <w:pPr>
        <w:jc w:val="center"/>
        <w:rPr>
          <w:rFonts w:hint="eastAsia" w:ascii="楷体" w:hAnsi="楷体" w:eastAsia="楷体" w:cs="楷体"/>
          <w:sz w:val="24"/>
          <w:szCs w:val="24"/>
        </w:rPr>
      </w:pPr>
      <w:bookmarkStart w:id="66" w:name="第七章 权益保护"/>
      <w:bookmarkEnd w:id="66"/>
      <w:r>
        <w:rPr>
          <w:rFonts w:hint="eastAsia" w:ascii="Times New Roman" w:hAnsi="Times New Roman" w:eastAsia="黑体" w:cs="黑体"/>
          <w:sz w:val="28"/>
          <w:szCs w:val="28"/>
        </w:rPr>
        <w:t>第七章　权益保护</w:t>
      </w:r>
    </w:p>
    <w:p w14:paraId="316E5506">
      <w:pPr>
        <w:ind w:firstLine="472" w:firstLineChars="200"/>
        <w:rPr>
          <w:rFonts w:hint="eastAsia" w:ascii="楷体" w:hAnsi="楷体" w:eastAsia="楷体" w:cs="楷体"/>
          <w:sz w:val="24"/>
          <w:szCs w:val="24"/>
        </w:rPr>
      </w:pPr>
      <w:bookmarkStart w:id="67" w:name="第五十八条"/>
      <w:bookmarkEnd w:id="67"/>
      <w:r>
        <w:rPr>
          <w:rFonts w:hint="eastAsia" w:ascii="楷体" w:hAnsi="楷体" w:eastAsia="楷体" w:cs="楷体"/>
          <w:sz w:val="24"/>
          <w:szCs w:val="24"/>
        </w:rPr>
        <w:t>第五十八条　民营经济组织及其经营者的人身权利、财产权利以及经营自主权等合法权益受法律保护，任何单位和个人不得侵犯。</w:t>
      </w:r>
    </w:p>
    <w:p w14:paraId="0B32C3F2">
      <w:pPr>
        <w:ind w:firstLine="472" w:firstLineChars="200"/>
        <w:rPr>
          <w:rFonts w:hint="eastAsia" w:ascii="楷体" w:hAnsi="楷体" w:eastAsia="楷体" w:cs="楷体"/>
          <w:sz w:val="24"/>
          <w:szCs w:val="24"/>
        </w:rPr>
      </w:pPr>
      <w:bookmarkStart w:id="68" w:name="第五十九条"/>
      <w:bookmarkEnd w:id="68"/>
      <w:r>
        <w:rPr>
          <w:rFonts w:hint="eastAsia" w:ascii="楷体" w:hAnsi="楷体" w:eastAsia="楷体" w:cs="楷体"/>
          <w:sz w:val="24"/>
          <w:szCs w:val="24"/>
        </w:rPr>
        <w:t>第五十九条　民营经济组织的名称权、名誉权、荣誉权和民营经济组织经营者的名誉权、荣誉权、隐私权、个人信息等人格权益受法律保护。</w:t>
      </w:r>
    </w:p>
    <w:p w14:paraId="5193AFDB">
      <w:pPr>
        <w:ind w:firstLine="472" w:firstLineChars="200"/>
        <w:rPr>
          <w:rFonts w:hint="eastAsia" w:ascii="楷体" w:hAnsi="楷体" w:eastAsia="楷体" w:cs="楷体"/>
          <w:sz w:val="24"/>
          <w:szCs w:val="24"/>
        </w:rPr>
      </w:pPr>
      <w:r>
        <w:rPr>
          <w:rFonts w:hint="eastAsia" w:ascii="楷体" w:hAnsi="楷体" w:eastAsia="楷体" w:cs="楷体"/>
          <w:sz w:val="24"/>
          <w:szCs w:val="24"/>
        </w:rPr>
        <w:t>任何单位和个人不得利用互联网等传播渠道，以侮辱、诽谤等方式恶意侵害民营经济组织及其经营者的人格权益。网络服务提供者应当依照有关法律法规规定，加强网络信息内容管理，建立健全投诉、举报机制，及时处置恶意侵害当事人合法权益的违法信息，并向有关主管部门报告。</w:t>
      </w:r>
    </w:p>
    <w:p w14:paraId="049EE5BB">
      <w:pPr>
        <w:ind w:firstLine="472" w:firstLineChars="200"/>
        <w:rPr>
          <w:rFonts w:hint="eastAsia" w:ascii="楷体" w:hAnsi="楷体" w:eastAsia="楷体" w:cs="楷体"/>
          <w:color w:val="0000FF"/>
          <w:sz w:val="24"/>
          <w:szCs w:val="24"/>
        </w:rPr>
      </w:pPr>
      <w:r>
        <w:rPr>
          <w:rFonts w:hint="eastAsia" w:ascii="楷体" w:hAnsi="楷体" w:eastAsia="楷体" w:cs="楷体"/>
          <w:sz w:val="24"/>
          <w:szCs w:val="24"/>
        </w:rPr>
        <w:t>人格权益受到恶意侵害的民营经济组织及其经营者有权依法向人民法院申请采取责令行为人停止有关行为的措施。</w:t>
      </w:r>
      <w:r>
        <w:rPr>
          <w:rFonts w:hint="eastAsia" w:ascii="楷体" w:hAnsi="楷体" w:eastAsia="楷体" w:cs="楷体"/>
          <w:color w:val="0000FF"/>
          <w:sz w:val="24"/>
          <w:szCs w:val="24"/>
        </w:rPr>
        <w:t>民营经济组织及其经营者的人格权益受到恶意侵害致使民营经济组织生产经营、投资融资等活动遭受实际损失的，侵权人依法承担赔偿责任。</w:t>
      </w:r>
    </w:p>
    <w:p w14:paraId="4D7579C2">
      <w:pPr>
        <w:ind w:firstLine="472" w:firstLineChars="200"/>
        <w:rPr>
          <w:rFonts w:hint="eastAsia" w:ascii="楷体" w:hAnsi="楷体" w:eastAsia="楷体" w:cs="楷体"/>
          <w:sz w:val="24"/>
          <w:szCs w:val="24"/>
        </w:rPr>
      </w:pPr>
      <w:bookmarkStart w:id="69" w:name="第六十条"/>
      <w:bookmarkEnd w:id="69"/>
      <w:r>
        <w:rPr>
          <w:rFonts w:hint="eastAsia" w:ascii="楷体" w:hAnsi="楷体" w:eastAsia="楷体" w:cs="楷体"/>
          <w:sz w:val="24"/>
          <w:szCs w:val="24"/>
        </w:rPr>
        <w:t>第六十条　国家机关及其工作人员依法开展调查或者要求协助调查，应当避免或者尽量减少对正常生产经营活动产生影响。实施限制人身自由的强制措施，应当严格依照法定权限、条件和程序进行。</w:t>
      </w:r>
    </w:p>
    <w:p w14:paraId="018C361B">
      <w:pPr>
        <w:ind w:firstLine="472" w:firstLineChars="200"/>
        <w:rPr>
          <w:rFonts w:hint="eastAsia" w:ascii="楷体" w:hAnsi="楷体" w:eastAsia="楷体" w:cs="楷体"/>
          <w:sz w:val="24"/>
          <w:szCs w:val="24"/>
        </w:rPr>
      </w:pPr>
      <w:bookmarkStart w:id="70" w:name="第六十一条"/>
      <w:bookmarkEnd w:id="70"/>
      <w:r>
        <w:rPr>
          <w:rFonts w:hint="eastAsia" w:ascii="楷体" w:hAnsi="楷体" w:eastAsia="楷体" w:cs="楷体"/>
          <w:sz w:val="24"/>
          <w:szCs w:val="24"/>
        </w:rPr>
        <w:t>第六十一条　征收、征用财产，应当严格依照法定权限、条件和程序进行。</w:t>
      </w:r>
    </w:p>
    <w:p w14:paraId="5418E96C">
      <w:pPr>
        <w:ind w:firstLine="472" w:firstLineChars="200"/>
        <w:rPr>
          <w:rFonts w:hint="eastAsia" w:ascii="楷体" w:hAnsi="楷体" w:eastAsia="楷体" w:cs="楷体"/>
          <w:sz w:val="24"/>
          <w:szCs w:val="24"/>
        </w:rPr>
      </w:pPr>
      <w:r>
        <w:rPr>
          <w:rFonts w:hint="eastAsia" w:ascii="楷体" w:hAnsi="楷体" w:eastAsia="楷体" w:cs="楷体"/>
          <w:sz w:val="24"/>
          <w:szCs w:val="24"/>
        </w:rPr>
        <w:t>为了公共利益的需要，依照法律规定征收、征用财产的，应当给予公平、合理的补偿。</w:t>
      </w:r>
    </w:p>
    <w:p w14:paraId="4E299257">
      <w:pPr>
        <w:ind w:firstLine="472" w:firstLineChars="200"/>
        <w:rPr>
          <w:rFonts w:hint="eastAsia" w:ascii="楷体" w:hAnsi="楷体" w:eastAsia="楷体" w:cs="楷体"/>
          <w:sz w:val="24"/>
          <w:szCs w:val="24"/>
        </w:rPr>
      </w:pPr>
      <w:r>
        <w:rPr>
          <w:rFonts w:hint="eastAsia" w:ascii="楷体" w:hAnsi="楷体" w:eastAsia="楷体" w:cs="楷体"/>
          <w:color w:val="0000FF"/>
          <w:sz w:val="24"/>
          <w:szCs w:val="24"/>
        </w:rPr>
        <w:t>任何单位不得违反法律、法规向民营经济组织收取费用，不得实施没有法律、法规依据的罚款，不得向民营经济组织摊派财物</w:t>
      </w:r>
      <w:r>
        <w:rPr>
          <w:rFonts w:hint="eastAsia" w:ascii="楷体" w:hAnsi="楷体" w:eastAsia="楷体" w:cs="楷体"/>
          <w:sz w:val="24"/>
          <w:szCs w:val="24"/>
        </w:rPr>
        <w:t>。</w:t>
      </w:r>
    </w:p>
    <w:p w14:paraId="452FC599">
      <w:pPr>
        <w:ind w:firstLine="472" w:firstLineChars="200"/>
        <w:rPr>
          <w:rFonts w:hint="eastAsia" w:ascii="楷体" w:hAnsi="楷体" w:eastAsia="楷体" w:cs="楷体"/>
          <w:sz w:val="24"/>
          <w:szCs w:val="24"/>
        </w:rPr>
      </w:pPr>
      <w:bookmarkStart w:id="71" w:name="第六十二条"/>
      <w:bookmarkEnd w:id="71"/>
      <w:r>
        <w:rPr>
          <w:rFonts w:hint="eastAsia" w:ascii="楷体" w:hAnsi="楷体" w:eastAsia="楷体" w:cs="楷体"/>
          <w:sz w:val="24"/>
          <w:szCs w:val="24"/>
        </w:rPr>
        <w:t>第六十二条　查封、扣押、冻结涉案财物，应当遵守法定权限、条件和程序，严格区分违法所得、其他涉案财物与合法财产，民营经济组织财产与民营经济组织经营者个人财产，涉案人财产与案外人财产，不得超权限、超范围、超数额、超时限查封、扣押、冻结财物。对查封、扣押的涉案财物，应当妥善保管。</w:t>
      </w:r>
    </w:p>
    <w:p w14:paraId="06E48075">
      <w:pPr>
        <w:ind w:firstLine="472" w:firstLineChars="200"/>
        <w:rPr>
          <w:rFonts w:hint="eastAsia" w:ascii="楷体" w:hAnsi="楷体" w:eastAsia="楷体" w:cs="楷体"/>
          <w:sz w:val="24"/>
          <w:szCs w:val="24"/>
        </w:rPr>
      </w:pPr>
      <w:bookmarkStart w:id="72" w:name="第六十三条"/>
      <w:bookmarkEnd w:id="72"/>
      <w:r>
        <w:rPr>
          <w:rFonts w:hint="eastAsia" w:ascii="楷体" w:hAnsi="楷体" w:eastAsia="楷体" w:cs="楷体"/>
          <w:sz w:val="24"/>
          <w:szCs w:val="24"/>
        </w:rPr>
        <w:t>第六十三条　办理案件应当严格区分经济纠纷与经济犯罪，遵守法律关于追诉期限的规定；生产经营活动未违反刑法规定的，不以犯罪论处；事实不清、证据不足或者依法不追究刑事责任的，应当依法撤销案件、不起诉、终止审理或者宣告无罪。</w:t>
      </w:r>
    </w:p>
    <w:p w14:paraId="35ABFA1F">
      <w:pPr>
        <w:ind w:firstLine="472" w:firstLineChars="200"/>
        <w:rPr>
          <w:rFonts w:hint="eastAsia" w:ascii="楷体" w:hAnsi="楷体" w:eastAsia="楷体" w:cs="楷体"/>
          <w:sz w:val="24"/>
          <w:szCs w:val="24"/>
        </w:rPr>
      </w:pPr>
      <w:r>
        <w:rPr>
          <w:rFonts w:hint="eastAsia" w:ascii="楷体" w:hAnsi="楷体" w:eastAsia="楷体" w:cs="楷体"/>
          <w:color w:val="0000FF"/>
          <w:sz w:val="24"/>
          <w:szCs w:val="24"/>
        </w:rPr>
        <w:t>禁止利用行政或者刑事手段违法干预经济纠纷</w:t>
      </w:r>
      <w:r>
        <w:rPr>
          <w:rFonts w:hint="eastAsia" w:ascii="楷体" w:hAnsi="楷体" w:eastAsia="楷体" w:cs="楷体"/>
          <w:sz w:val="24"/>
          <w:szCs w:val="24"/>
        </w:rPr>
        <w:t>。</w:t>
      </w:r>
    </w:p>
    <w:p w14:paraId="2F0A6077">
      <w:pPr>
        <w:ind w:firstLine="472" w:firstLineChars="200"/>
        <w:rPr>
          <w:rFonts w:hint="eastAsia" w:ascii="楷体" w:hAnsi="楷体" w:eastAsia="楷体" w:cs="楷体"/>
          <w:sz w:val="24"/>
          <w:szCs w:val="24"/>
        </w:rPr>
      </w:pPr>
      <w:bookmarkStart w:id="73" w:name="第六十四条"/>
      <w:bookmarkEnd w:id="73"/>
      <w:r>
        <w:rPr>
          <w:rFonts w:hint="eastAsia" w:ascii="楷体" w:hAnsi="楷体" w:eastAsia="楷体" w:cs="楷体"/>
          <w:sz w:val="24"/>
          <w:szCs w:val="24"/>
        </w:rPr>
        <w:t>第六十四条　规范异地执法行为，建立健全异地执法协助制度。办理案件需要异地执法的，应当遵守法定权限、条件和程序。国家机关之间对案件管辖有争议的，可以进行协商，协商不成的，提请共同的上级机关决定，法律另有规定的从其规定。</w:t>
      </w:r>
    </w:p>
    <w:p w14:paraId="690EB3CD">
      <w:pPr>
        <w:ind w:firstLine="472" w:firstLineChars="200"/>
        <w:rPr>
          <w:rFonts w:hint="eastAsia" w:ascii="楷体" w:hAnsi="楷体" w:eastAsia="楷体" w:cs="楷体"/>
          <w:sz w:val="24"/>
          <w:szCs w:val="24"/>
        </w:rPr>
      </w:pPr>
      <w:r>
        <w:rPr>
          <w:rFonts w:hint="eastAsia" w:ascii="楷体" w:hAnsi="楷体" w:eastAsia="楷体" w:cs="楷体"/>
          <w:color w:val="0000FF"/>
          <w:sz w:val="24"/>
          <w:szCs w:val="24"/>
        </w:rPr>
        <w:t>禁止为经济利益等目的滥用职权实施异地执法</w:t>
      </w:r>
      <w:r>
        <w:rPr>
          <w:rFonts w:hint="eastAsia" w:ascii="楷体" w:hAnsi="楷体" w:eastAsia="楷体" w:cs="楷体"/>
          <w:sz w:val="24"/>
          <w:szCs w:val="24"/>
        </w:rPr>
        <w:t>。</w:t>
      </w:r>
    </w:p>
    <w:p w14:paraId="7F6C7DF8">
      <w:pPr>
        <w:ind w:firstLine="472" w:firstLineChars="200"/>
        <w:rPr>
          <w:rFonts w:hint="eastAsia" w:ascii="楷体" w:hAnsi="楷体" w:eastAsia="楷体" w:cs="楷体"/>
          <w:sz w:val="24"/>
          <w:szCs w:val="24"/>
        </w:rPr>
      </w:pPr>
      <w:bookmarkStart w:id="74" w:name="第六十五条"/>
      <w:bookmarkEnd w:id="74"/>
      <w:r>
        <w:rPr>
          <w:rFonts w:hint="eastAsia" w:ascii="楷体" w:hAnsi="楷体" w:eastAsia="楷体" w:cs="楷体"/>
          <w:sz w:val="24"/>
          <w:szCs w:val="24"/>
        </w:rPr>
        <w:t>第六十五条　民营经济组织及其经营者对生产经营活动是否违法，以及国家机关实施的强制措施存在异议的，可以依法向有关机关反映情况、申诉，依法申请行政复议、提起诉讼。</w:t>
      </w:r>
    </w:p>
    <w:p w14:paraId="4E01EB3C">
      <w:pPr>
        <w:ind w:firstLine="472" w:firstLineChars="200"/>
        <w:rPr>
          <w:rFonts w:hint="eastAsia" w:ascii="楷体" w:hAnsi="楷体" w:eastAsia="楷体" w:cs="楷体"/>
          <w:sz w:val="24"/>
          <w:szCs w:val="24"/>
        </w:rPr>
      </w:pPr>
      <w:bookmarkStart w:id="75" w:name="第六十六条"/>
      <w:bookmarkEnd w:id="75"/>
      <w:r>
        <w:rPr>
          <w:rFonts w:hint="eastAsia" w:ascii="楷体" w:hAnsi="楷体" w:eastAsia="楷体" w:cs="楷体"/>
          <w:sz w:val="24"/>
          <w:szCs w:val="24"/>
        </w:rPr>
        <w:t>第六十六条　</w:t>
      </w:r>
      <w:r>
        <w:rPr>
          <w:rFonts w:hint="eastAsia" w:ascii="楷体" w:hAnsi="楷体" w:eastAsia="楷体" w:cs="楷体"/>
          <w:color w:val="0000FF"/>
          <w:sz w:val="24"/>
          <w:szCs w:val="24"/>
        </w:rPr>
        <w:t>检察机关</w:t>
      </w:r>
      <w:r>
        <w:rPr>
          <w:rFonts w:hint="eastAsia" w:ascii="楷体" w:hAnsi="楷体" w:eastAsia="楷体" w:cs="楷体"/>
          <w:sz w:val="24"/>
          <w:szCs w:val="24"/>
        </w:rPr>
        <w:t>依法对涉及民营经济组织及其经营者的诉讼活动实施法律监督，及时受理并审查有关申诉、控告。发现存在违法情形的，应当依法提出抗诉、纠正意见、检察建议。</w:t>
      </w:r>
    </w:p>
    <w:p w14:paraId="05F06AE5">
      <w:pPr>
        <w:ind w:firstLine="472" w:firstLineChars="200"/>
        <w:rPr>
          <w:rFonts w:hint="eastAsia" w:ascii="楷体" w:hAnsi="楷体" w:eastAsia="楷体" w:cs="楷体"/>
          <w:sz w:val="24"/>
          <w:szCs w:val="24"/>
        </w:rPr>
      </w:pPr>
      <w:bookmarkStart w:id="76" w:name="第六十七条"/>
      <w:bookmarkEnd w:id="76"/>
      <w:r>
        <w:rPr>
          <w:rFonts w:hint="eastAsia" w:ascii="楷体" w:hAnsi="楷体" w:eastAsia="楷体" w:cs="楷体"/>
          <w:sz w:val="24"/>
          <w:szCs w:val="24"/>
        </w:rPr>
        <w:t>第六十七条　国家机关、事业单位、国有企业应当依法或者依合同约定及时向民营经济组织支付账款，不得以人员变更、履行内部付款流程或者在合同未作约定情况下以等待竣工验收批复、决算审计等为由，拒绝或者拖延支付民营经济组织账款；除法律、行政法规另有规定外，</w:t>
      </w:r>
      <w:r>
        <w:rPr>
          <w:rFonts w:hint="eastAsia" w:ascii="楷体" w:hAnsi="楷体" w:eastAsia="楷体" w:cs="楷体"/>
          <w:color w:val="0000FF"/>
          <w:sz w:val="24"/>
          <w:szCs w:val="24"/>
        </w:rPr>
        <w:t>不得强制要求以审计结果作为结算依据。</w:t>
      </w:r>
    </w:p>
    <w:p w14:paraId="3FD04408">
      <w:pPr>
        <w:ind w:firstLine="472" w:firstLineChars="200"/>
        <w:rPr>
          <w:rFonts w:hint="eastAsia" w:ascii="楷体" w:hAnsi="楷体" w:eastAsia="楷体" w:cs="楷体"/>
          <w:sz w:val="24"/>
          <w:szCs w:val="24"/>
        </w:rPr>
      </w:pPr>
      <w:r>
        <w:rPr>
          <w:rFonts w:hint="eastAsia" w:ascii="楷体" w:hAnsi="楷体" w:eastAsia="楷体" w:cs="楷体"/>
          <w:sz w:val="24"/>
          <w:szCs w:val="24"/>
        </w:rPr>
        <w:t>审计机关依法对国家机关、事业单位和国有企业支付民营经济组织账款情况进行审计监督。</w:t>
      </w:r>
    </w:p>
    <w:p w14:paraId="2DB50ED2">
      <w:pPr>
        <w:ind w:firstLine="472" w:firstLineChars="200"/>
        <w:rPr>
          <w:rFonts w:hint="eastAsia" w:ascii="楷体" w:hAnsi="楷体" w:eastAsia="楷体" w:cs="楷体"/>
          <w:sz w:val="24"/>
          <w:szCs w:val="24"/>
        </w:rPr>
      </w:pPr>
      <w:bookmarkStart w:id="77" w:name="第六十八条"/>
      <w:bookmarkEnd w:id="77"/>
      <w:r>
        <w:rPr>
          <w:rFonts w:hint="eastAsia" w:ascii="楷体" w:hAnsi="楷体" w:eastAsia="楷体" w:cs="楷体"/>
          <w:sz w:val="24"/>
          <w:szCs w:val="24"/>
        </w:rPr>
        <w:t>第六十八条　大型企业向中小民营经济组织采购货物、工程、服务等，应当合理约定付款期限并及时支付账款，不得以收到第三方付款作为向中小民营经济组织支付账款的条件。</w:t>
      </w:r>
    </w:p>
    <w:p w14:paraId="0DEF316D">
      <w:pPr>
        <w:ind w:firstLine="472" w:firstLineChars="200"/>
        <w:rPr>
          <w:rFonts w:hint="eastAsia" w:ascii="楷体" w:hAnsi="楷体" w:eastAsia="楷体" w:cs="楷体"/>
          <w:sz w:val="24"/>
          <w:szCs w:val="24"/>
        </w:rPr>
      </w:pPr>
      <w:r>
        <w:rPr>
          <w:rFonts w:hint="eastAsia" w:ascii="楷体" w:hAnsi="楷体" w:eastAsia="楷体" w:cs="楷体"/>
          <w:sz w:val="24"/>
          <w:szCs w:val="24"/>
        </w:rPr>
        <w:t>人民法院对拖欠中小民营经济组织账款案件依法及时立案、审理、执行，可以根据自愿和合法的原则进行调解，保障中小民营经济组织合法权益。</w:t>
      </w:r>
    </w:p>
    <w:p w14:paraId="7FFF1AFF">
      <w:pPr>
        <w:ind w:firstLine="472" w:firstLineChars="200"/>
        <w:rPr>
          <w:rFonts w:hint="eastAsia" w:ascii="楷体" w:hAnsi="楷体" w:eastAsia="楷体" w:cs="楷体"/>
          <w:sz w:val="24"/>
          <w:szCs w:val="24"/>
        </w:rPr>
      </w:pPr>
      <w:bookmarkStart w:id="78" w:name="第六十九条"/>
      <w:bookmarkEnd w:id="78"/>
      <w:r>
        <w:rPr>
          <w:rFonts w:hint="eastAsia" w:ascii="楷体" w:hAnsi="楷体" w:eastAsia="楷体" w:cs="楷体"/>
          <w:sz w:val="24"/>
          <w:szCs w:val="24"/>
        </w:rPr>
        <w:t>第六十九条　县级以上地方人民政府应当加强账款支付保障工作，预防和清理拖欠民营经济组织账款；强化预算管理，政府采购项目应当严格按照批准的预算执行；加强对拖欠账款处置工作的统筹指导，对有争议的鼓励各方协商解决，对存在重大分歧的组织协商、调解。协商、调解应当发挥工商业联合会、律师协会等组织的作用。</w:t>
      </w:r>
    </w:p>
    <w:p w14:paraId="7EDBDEED">
      <w:pPr>
        <w:ind w:firstLine="472" w:firstLineChars="200"/>
        <w:rPr>
          <w:rFonts w:hint="eastAsia" w:ascii="楷体" w:hAnsi="楷体" w:eastAsia="楷体" w:cs="楷体"/>
          <w:sz w:val="24"/>
          <w:szCs w:val="24"/>
        </w:rPr>
      </w:pPr>
      <w:bookmarkStart w:id="79" w:name="第七十条"/>
      <w:bookmarkEnd w:id="79"/>
      <w:r>
        <w:rPr>
          <w:rFonts w:hint="eastAsia" w:ascii="楷体" w:hAnsi="楷体" w:eastAsia="楷体" w:cs="楷体"/>
          <w:sz w:val="24"/>
          <w:szCs w:val="24"/>
        </w:rPr>
        <w:t>第七十条　地方各级人民政府及其有关部门应当履行依法向民营经济组织作出的政策承诺和与民营经济组织订立的合同，不得以行政区划调整、政府换届、机构或者职能调整以及相关人员更替等为由违约、毁约。</w:t>
      </w:r>
    </w:p>
    <w:p w14:paraId="620525DE">
      <w:pPr>
        <w:ind w:firstLine="472" w:firstLineChars="200"/>
        <w:rPr>
          <w:rFonts w:ascii="Times New Roman" w:hAnsi="Times New Roman" w:eastAsia="宋体" w:cs="宋体"/>
          <w:szCs w:val="32"/>
        </w:rPr>
      </w:pPr>
      <w:r>
        <w:rPr>
          <w:rFonts w:hint="eastAsia" w:ascii="楷体" w:hAnsi="楷体" w:eastAsia="楷体" w:cs="楷体"/>
          <w:color w:val="0000FF"/>
          <w:sz w:val="24"/>
          <w:szCs w:val="24"/>
        </w:rPr>
        <w:t>因国家利益、社会公共利益需要改变政策承诺、合同约定的，应当依照法定权限和程序进行，并对民营经济组织因此受到的损失予以补偿。</w:t>
      </w:r>
    </w:p>
    <w:p w14:paraId="290C997A">
      <w:pPr>
        <w:jc w:val="center"/>
        <w:rPr>
          <w:rFonts w:ascii="Times New Roman" w:hAnsi="Times New Roman" w:eastAsia="宋体" w:cs="宋体"/>
          <w:sz w:val="28"/>
          <w:szCs w:val="28"/>
        </w:rPr>
      </w:pPr>
      <w:bookmarkStart w:id="80" w:name="第八章 法律责任"/>
      <w:bookmarkEnd w:id="80"/>
      <w:r>
        <w:rPr>
          <w:rFonts w:hint="eastAsia" w:ascii="Times New Roman" w:hAnsi="Times New Roman" w:eastAsia="黑体" w:cs="黑体"/>
          <w:sz w:val="28"/>
          <w:szCs w:val="28"/>
        </w:rPr>
        <w:t>第八章　法律责任</w:t>
      </w:r>
    </w:p>
    <w:p w14:paraId="58E1C6DA">
      <w:pPr>
        <w:ind w:firstLine="552" w:firstLineChars="200"/>
        <w:rPr>
          <w:rFonts w:hint="eastAsia" w:ascii="楷体" w:hAnsi="楷体" w:eastAsia="楷体" w:cs="楷体"/>
          <w:color w:val="0000FF"/>
          <w:sz w:val="28"/>
          <w:szCs w:val="28"/>
        </w:rPr>
      </w:pPr>
      <w:bookmarkStart w:id="81" w:name="第七十一条"/>
      <w:bookmarkEnd w:id="81"/>
      <w:r>
        <w:rPr>
          <w:rFonts w:hint="eastAsia" w:ascii="楷体" w:hAnsi="楷体" w:eastAsia="楷体" w:cs="楷体"/>
          <w:sz w:val="28"/>
          <w:szCs w:val="28"/>
        </w:rPr>
        <w:t>第七十一条　违反本法规定，有下列情形之一的，由有权机关责令改正，造成不良后果或者影响的，对负有责任的领导人员和直接责任人员依法</w:t>
      </w:r>
      <w:r>
        <w:rPr>
          <w:rFonts w:hint="eastAsia" w:ascii="楷体" w:hAnsi="楷体" w:eastAsia="楷体" w:cs="楷体"/>
          <w:color w:val="0000FF"/>
          <w:sz w:val="28"/>
          <w:szCs w:val="28"/>
        </w:rPr>
        <w:t>给予处分：</w:t>
      </w:r>
    </w:p>
    <w:p w14:paraId="5165CFD1">
      <w:pPr>
        <w:ind w:firstLine="552" w:firstLineChars="200"/>
        <w:rPr>
          <w:rFonts w:hint="eastAsia" w:ascii="楷体" w:hAnsi="楷体" w:eastAsia="楷体" w:cs="楷体"/>
          <w:sz w:val="28"/>
          <w:szCs w:val="28"/>
        </w:rPr>
      </w:pPr>
      <w:r>
        <w:rPr>
          <w:rFonts w:hint="eastAsia" w:ascii="楷体" w:hAnsi="楷体" w:eastAsia="楷体" w:cs="楷体"/>
          <w:sz w:val="28"/>
          <w:szCs w:val="28"/>
        </w:rPr>
        <w:t>（一）未经公平竞争审查或者未通过公平竞争审查出台政策措施；</w:t>
      </w:r>
    </w:p>
    <w:p w14:paraId="28B6EFB1">
      <w:pPr>
        <w:ind w:firstLine="552" w:firstLineChars="200"/>
        <w:rPr>
          <w:rFonts w:hint="eastAsia" w:ascii="楷体" w:hAnsi="楷体" w:eastAsia="楷体" w:cs="楷体"/>
          <w:sz w:val="24"/>
          <w:szCs w:val="24"/>
        </w:rPr>
      </w:pPr>
      <w:r>
        <w:rPr>
          <w:rFonts w:hint="eastAsia" w:ascii="楷体" w:hAnsi="楷体" w:eastAsia="楷体" w:cs="楷体"/>
          <w:sz w:val="28"/>
          <w:szCs w:val="28"/>
        </w:rPr>
        <w:t>（二）在招标投标、政府采购等公共资源交易中限制或者排斥民营经济组织。</w:t>
      </w:r>
    </w:p>
    <w:p w14:paraId="3DC25E38">
      <w:pPr>
        <w:ind w:firstLine="472" w:firstLineChars="200"/>
        <w:rPr>
          <w:rFonts w:hint="eastAsia" w:ascii="楷体" w:hAnsi="楷体" w:eastAsia="楷体" w:cs="楷体"/>
          <w:sz w:val="24"/>
          <w:szCs w:val="24"/>
        </w:rPr>
      </w:pPr>
      <w:bookmarkStart w:id="82" w:name="第七十二条"/>
      <w:bookmarkEnd w:id="82"/>
      <w:r>
        <w:rPr>
          <w:rFonts w:hint="eastAsia" w:ascii="楷体" w:hAnsi="楷体" w:eastAsia="楷体" w:cs="楷体"/>
          <w:sz w:val="24"/>
          <w:szCs w:val="24"/>
        </w:rPr>
        <w:t>第七十二条　违反法律规定实施征收、征用或者查封、扣押、冻结等措施的，由有权机关责令改正，造成损失的，依法予以赔偿；造成不良后果或者影响的，对负有责任的领导人员和直接责任人员依法给予处分。</w:t>
      </w:r>
    </w:p>
    <w:p w14:paraId="77EEC5E8">
      <w:pPr>
        <w:ind w:firstLine="472" w:firstLineChars="200"/>
        <w:rPr>
          <w:rFonts w:hint="eastAsia" w:ascii="楷体" w:hAnsi="楷体" w:eastAsia="楷体" w:cs="楷体"/>
          <w:sz w:val="24"/>
          <w:szCs w:val="24"/>
        </w:rPr>
      </w:pPr>
      <w:r>
        <w:rPr>
          <w:rFonts w:hint="eastAsia" w:ascii="楷体" w:hAnsi="楷体" w:eastAsia="楷体" w:cs="楷体"/>
          <w:sz w:val="24"/>
          <w:szCs w:val="24"/>
        </w:rPr>
        <w:t>违反法律规定实施异地执法的，由有权机关责令改正，造成不良后果或者影响的，对负有责任的领导人员和直接责任人员依法给予处分。</w:t>
      </w:r>
    </w:p>
    <w:p w14:paraId="0B028E5C">
      <w:pPr>
        <w:ind w:firstLine="472" w:firstLineChars="200"/>
        <w:rPr>
          <w:rFonts w:hint="eastAsia" w:ascii="楷体" w:hAnsi="楷体" w:eastAsia="楷体" w:cs="楷体"/>
          <w:color w:val="0000FF"/>
          <w:sz w:val="24"/>
          <w:szCs w:val="24"/>
        </w:rPr>
      </w:pPr>
      <w:bookmarkStart w:id="83" w:name="第七十三条"/>
      <w:bookmarkEnd w:id="83"/>
      <w:r>
        <w:rPr>
          <w:rFonts w:hint="eastAsia" w:ascii="楷体" w:hAnsi="楷体" w:eastAsia="楷体" w:cs="楷体"/>
          <w:color w:val="0000FF"/>
          <w:sz w:val="24"/>
          <w:szCs w:val="24"/>
        </w:rPr>
        <w:t>第七十三条　国家机关、事业单位、国有企业违反法律、行政法规规定或者合同约定，拒绝或者拖延支付民营经济组织账款，地方各级人民政府及其有关部门不履行向民营经济组织依法作出的政策承诺、依法订立的合同的，由有权机关予以纠正，造成损失的，依法予以赔偿；造成不良后果或者影响的，对负有责任的领导人员和直接责任人员依法给予处分。</w:t>
      </w:r>
    </w:p>
    <w:p w14:paraId="511D7E14">
      <w:pPr>
        <w:ind w:firstLine="472" w:firstLineChars="200"/>
        <w:rPr>
          <w:rFonts w:hint="eastAsia" w:ascii="楷体" w:hAnsi="楷体" w:eastAsia="楷体" w:cs="楷体"/>
          <w:color w:val="0000FF"/>
          <w:sz w:val="24"/>
          <w:szCs w:val="24"/>
        </w:rPr>
      </w:pPr>
      <w:r>
        <w:rPr>
          <w:rFonts w:hint="eastAsia" w:ascii="楷体" w:hAnsi="楷体" w:eastAsia="楷体" w:cs="楷体"/>
          <w:color w:val="0000FF"/>
          <w:sz w:val="24"/>
          <w:szCs w:val="24"/>
        </w:rPr>
        <w:t>大型企业违反法律、行政法规规定或者合同约定，拒绝或者拖延支付中小民营经济组织账款的，依法承担法律责任。</w:t>
      </w:r>
    </w:p>
    <w:p w14:paraId="11B98A83">
      <w:pPr>
        <w:ind w:firstLine="472" w:firstLineChars="200"/>
        <w:rPr>
          <w:rFonts w:hint="eastAsia" w:ascii="楷体" w:hAnsi="楷体" w:eastAsia="楷体" w:cs="楷体"/>
          <w:sz w:val="24"/>
          <w:szCs w:val="24"/>
        </w:rPr>
      </w:pPr>
      <w:bookmarkStart w:id="84" w:name="第七十四条"/>
      <w:bookmarkEnd w:id="84"/>
      <w:r>
        <w:rPr>
          <w:rFonts w:hint="eastAsia" w:ascii="楷体" w:hAnsi="楷体" w:eastAsia="楷体" w:cs="楷体"/>
          <w:sz w:val="24"/>
          <w:szCs w:val="24"/>
        </w:rPr>
        <w:t>第七十四条　违反本法规定，侵害民营经济组织及其经营者合法权益，其他法律、法规规定行政处罚的，从其规定；造成人身损害或者财产损失的，依法承担民事责任；构成犯罪的，依法追究刑事责任。</w:t>
      </w:r>
    </w:p>
    <w:p w14:paraId="499577B7">
      <w:pPr>
        <w:ind w:firstLine="472" w:firstLineChars="200"/>
        <w:rPr>
          <w:rFonts w:hint="eastAsia" w:ascii="楷体" w:hAnsi="楷体" w:eastAsia="楷体" w:cs="楷体"/>
          <w:sz w:val="24"/>
          <w:szCs w:val="24"/>
        </w:rPr>
      </w:pPr>
      <w:bookmarkStart w:id="85" w:name="第七十五条"/>
      <w:bookmarkEnd w:id="85"/>
      <w:r>
        <w:rPr>
          <w:rFonts w:hint="eastAsia" w:ascii="楷体" w:hAnsi="楷体" w:eastAsia="楷体" w:cs="楷体"/>
          <w:sz w:val="24"/>
          <w:szCs w:val="24"/>
        </w:rPr>
        <w:t>第七十五条　民营经济组织及其经营者生产经营活动违反法律、法规规定，由有权机关责令改正，依法予以行政处罚；造成人身损害或者财产损失的，依法承担民事责任；构成犯罪的，依法追究刑事责任。</w:t>
      </w:r>
    </w:p>
    <w:p w14:paraId="4D80BAA3">
      <w:pPr>
        <w:ind w:firstLine="472" w:firstLineChars="200"/>
        <w:rPr>
          <w:rFonts w:ascii="Times New Roman" w:hAnsi="Times New Roman" w:eastAsia="宋体" w:cs="宋体"/>
          <w:szCs w:val="32"/>
        </w:rPr>
      </w:pPr>
      <w:bookmarkStart w:id="86" w:name="第七十六条"/>
      <w:bookmarkEnd w:id="86"/>
      <w:r>
        <w:rPr>
          <w:rFonts w:hint="eastAsia" w:ascii="楷体" w:hAnsi="楷体" w:eastAsia="楷体" w:cs="楷体"/>
          <w:sz w:val="24"/>
          <w:szCs w:val="24"/>
        </w:rPr>
        <w:t>第七十六条　民营经济组织及其经营者采取欺诈等不正当手段骗取表彰荣誉、优惠政策等的，应当撤销已获表彰荣誉、取消享受的政策待遇，依法予以处罚；构成犯罪的，依法追究刑事责任。</w:t>
      </w:r>
      <w:bookmarkStart w:id="90" w:name="_GoBack"/>
      <w:bookmarkEnd w:id="90"/>
    </w:p>
    <w:p w14:paraId="0D0614D9">
      <w:pPr>
        <w:jc w:val="center"/>
        <w:rPr>
          <w:rFonts w:ascii="Times New Roman" w:hAnsi="Times New Roman" w:eastAsia="宋体" w:cs="宋体"/>
          <w:szCs w:val="32"/>
        </w:rPr>
      </w:pPr>
      <w:bookmarkStart w:id="87" w:name="第九章 附则"/>
      <w:bookmarkEnd w:id="87"/>
      <w:r>
        <w:rPr>
          <w:rFonts w:hint="eastAsia" w:ascii="Times New Roman" w:hAnsi="Times New Roman" w:eastAsia="黑体" w:cs="黑体"/>
          <w:sz w:val="28"/>
          <w:szCs w:val="28"/>
        </w:rPr>
        <w:t>第九章　附　　则</w:t>
      </w:r>
    </w:p>
    <w:p w14:paraId="2F79C327">
      <w:pPr>
        <w:ind w:firstLine="472" w:firstLineChars="200"/>
        <w:rPr>
          <w:rFonts w:hint="eastAsia" w:ascii="楷体" w:hAnsi="楷体" w:eastAsia="楷体" w:cs="楷体"/>
          <w:sz w:val="24"/>
          <w:szCs w:val="24"/>
        </w:rPr>
      </w:pPr>
      <w:bookmarkStart w:id="88" w:name="第七十七条"/>
      <w:bookmarkEnd w:id="88"/>
      <w:r>
        <w:rPr>
          <w:rFonts w:hint="eastAsia" w:ascii="楷体" w:hAnsi="楷体" w:eastAsia="楷体" w:cs="楷体"/>
          <w:sz w:val="24"/>
          <w:szCs w:val="24"/>
        </w:rPr>
        <w:t>第七十七条　本法所称</w:t>
      </w:r>
      <w:r>
        <w:rPr>
          <w:rFonts w:hint="eastAsia" w:ascii="楷体" w:hAnsi="楷体" w:eastAsia="楷体" w:cs="楷体"/>
          <w:color w:val="0000FF"/>
          <w:sz w:val="24"/>
          <w:szCs w:val="24"/>
        </w:rPr>
        <w:t>民营经济组织</w:t>
      </w:r>
      <w:r>
        <w:rPr>
          <w:rFonts w:hint="eastAsia" w:ascii="楷体" w:hAnsi="楷体" w:eastAsia="楷体" w:cs="楷体"/>
          <w:sz w:val="24"/>
          <w:szCs w:val="24"/>
        </w:rPr>
        <w:t>，是指在中华人民共和国境内依法设立的由中国公民控股或者实际控制的营利法人、非法人组织和个体工商户，以及前述组织控股或者实际控制的营利法人、非法人组织。</w:t>
      </w:r>
    </w:p>
    <w:p w14:paraId="18726CD8">
      <w:pPr>
        <w:ind w:firstLine="472" w:firstLineChars="200"/>
        <w:rPr>
          <w:rFonts w:hint="eastAsia" w:ascii="楷体" w:hAnsi="楷体" w:eastAsia="楷体" w:cs="楷体"/>
          <w:sz w:val="24"/>
          <w:szCs w:val="24"/>
        </w:rPr>
      </w:pPr>
      <w:r>
        <w:rPr>
          <w:rFonts w:hint="eastAsia" w:ascii="楷体" w:hAnsi="楷体" w:eastAsia="楷体" w:cs="楷体"/>
          <w:sz w:val="24"/>
          <w:szCs w:val="24"/>
        </w:rPr>
        <w:t>民营经济组织涉及外商投资的，同时适用外商投资法律法规的相关规定。</w:t>
      </w:r>
    </w:p>
    <w:p w14:paraId="19C8A389">
      <w:pPr>
        <w:ind w:firstLine="472" w:firstLineChars="200"/>
        <w:rPr>
          <w:rFonts w:hint="eastAsia" w:ascii="楷体" w:hAnsi="楷体" w:eastAsia="楷体" w:cs="楷体"/>
          <w:sz w:val="24"/>
          <w:szCs w:val="24"/>
        </w:rPr>
      </w:pPr>
      <w:bookmarkStart w:id="89" w:name="第七十八条"/>
      <w:bookmarkEnd w:id="89"/>
      <w:r>
        <w:rPr>
          <w:rFonts w:hint="eastAsia" w:ascii="楷体" w:hAnsi="楷体" w:eastAsia="楷体" w:cs="楷体"/>
          <w:sz w:val="24"/>
          <w:szCs w:val="24"/>
        </w:rPr>
        <w:t>第七十八条　本法自2025年5月20日起施行。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Cambria">
    <w:altName w:val="苹方-简"/>
    <w:panose1 w:val="02040503050406030204"/>
    <w:charset w:val="00"/>
    <w:family w:val="auto"/>
    <w:pitch w:val="default"/>
    <w:sig w:usb0="00000000" w:usb1="00000000" w:usb2="02000000" w:usb3="00000000" w:csb0="2000019F" w:csb1="00000000"/>
  </w:font>
  <w:font w:name="方正黑体_GBK">
    <w:altName w:val="汉仪中黑KW"/>
    <w:panose1 w:val="00000000000000000000"/>
    <w:charset w:val="86"/>
    <w:family w:val="script"/>
    <w:pitch w:val="default"/>
    <w:sig w:usb0="00000000" w:usb1="00000000" w:usb2="00000000" w:usb3="00000000" w:csb0="00040000" w:csb1="00000000"/>
  </w:font>
  <w:font w:name="ˎ̥">
    <w:altName w:val="苹方-简"/>
    <w:panose1 w:val="00000000000000000000"/>
    <w:charset w:val="00"/>
    <w:family w:val="roman"/>
    <w:pitch w:val="default"/>
    <w:sig w:usb0="00000000" w:usb1="00000000" w:usb2="00000000" w:usb3="00000000" w:csb0="00040001" w:csb1="00000000"/>
  </w:font>
  <w:font w:name="Kaiti SC Regular">
    <w:panose1 w:val="02010600040101010101"/>
    <w:charset w:val="86"/>
    <w:family w:val="auto"/>
    <w:pitch w:val="default"/>
    <w:sig w:usb0="80000287" w:usb1="280F3C52" w:usb2="00000016" w:usb3="00000000" w:csb0="0004001F" w:csb1="00000000"/>
  </w:font>
  <w:font w:name="楷体_GB2312">
    <w:altName w:val="汉仪楷体简"/>
    <w:panose1 w:val="02010609030101010101"/>
    <w:charset w:val="86"/>
    <w:family w:val="auto"/>
    <w:pitch w:val="default"/>
    <w:sig w:usb0="00000000" w:usb1="00000000" w:usb2="00000000" w:usb3="00000000" w:csb0="00040000" w:csb1="00000000"/>
  </w:font>
  <w:font w:name="楷体">
    <w:altName w:val="汉仪楷体KW"/>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粗仿宋简">
    <w:panose1 w:val="02010600000101010101"/>
    <w:charset w:val="86"/>
    <w:family w:val="auto"/>
    <w:pitch w:val="default"/>
    <w:sig w:usb0="00000001" w:usb1="080E0800" w:usb2="00000002" w:usb3="00000000" w:csb0="00040000" w:csb1="00000000"/>
  </w:font>
  <w:font w:name="汉仪中简黑简">
    <w:panose1 w:val="00020600040101010101"/>
    <w:charset w:val="86"/>
    <w:family w:val="auto"/>
    <w:pitch w:val="default"/>
    <w:sig w:usb0="A00002BF" w:usb1="18EF7CFA" w:usb2="00000016" w:usb3="00000000" w:csb0="00040000" w:csb1="00000000"/>
  </w:font>
  <w:font w:name="汉仪君黑">
    <w:panose1 w:val="020B0604020202020204"/>
    <w:charset w:val="86"/>
    <w:family w:val="auto"/>
    <w:pitch w:val="default"/>
    <w:sig w:usb0="A00002BF" w:usb1="0ACF7CFA" w:usb2="00000016" w:usb3="00000000" w:csb0="2004000F"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5"/>
  <w:doNotDisplayPageBoundaries w:val="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EE3EAE4"/>
    <w:rsid w:val="5F066F8F"/>
    <w:rsid w:val="622F12CF"/>
    <w:rsid w:val="63A92BB6"/>
    <w:rsid w:val="69623539"/>
    <w:rsid w:val="6A2E56A6"/>
    <w:rsid w:val="6A464C09"/>
    <w:rsid w:val="6C552A97"/>
    <w:rsid w:val="6D384E6C"/>
    <w:rsid w:val="730257DC"/>
    <w:rsid w:val="775E649E"/>
    <w:rsid w:val="7BB07870"/>
    <w:rsid w:val="7E541E2C"/>
    <w:rsid w:val="BFFB3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258</Words>
  <Characters>278</Characters>
  <Lines>87</Lines>
  <Paragraphs>24</Paragraphs>
  <TotalTime>64</TotalTime>
  <ScaleCrop>false</ScaleCrop>
  <LinksUpToDate>false</LinksUpToDate>
  <CharactersWithSpaces>289</CharactersWithSpaces>
  <Application>WPS Office_7.2.1.8947_F1E327BC-269C-435d-A152-05C5408002CA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2017-11-15T18:33:00Z</dcterms:created>
  <dc:creator>YF-INT6</dc:creator>
  <cp:lastModifiedBy>姚lawyer</cp:lastModifiedBy>
  <cp:lastPrinted>2024-07-19T17:09:00Z</cp:lastPrinted>
  <dcterms:modified xsi:type="dcterms:W3CDTF">2025-05-09T17:52:50Z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2052-7.2.1.8947</vt:lpwstr>
  </property>
</Properties>
</file>