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04DCA">
      <w:pPr>
        <w:jc w:val="center"/>
        <w:rPr>
          <w:rFonts w:hint="eastAsia" w:ascii="Kaiti SC Bold" w:hAnsi="Kaiti SC Bold" w:eastAsia="Kaiti SC Bold" w:cs="Kaiti SC Bold"/>
          <w:b/>
          <w:bCs/>
          <w:sz w:val="36"/>
          <w:szCs w:val="36"/>
          <w:lang w:eastAsia="zh-CN"/>
        </w:rPr>
      </w:pPr>
      <w:r>
        <w:rPr>
          <w:rFonts w:hint="eastAsia" w:ascii="Kaiti SC Bold" w:hAnsi="Kaiti SC Bold" w:eastAsia="Kaiti SC Bold" w:cs="Kaiti SC Bold"/>
          <w:b/>
          <w:bCs/>
          <w:sz w:val="36"/>
          <w:szCs w:val="36"/>
          <w:lang w:eastAsia="zh-CN"/>
        </w:rPr>
        <w:t>最高人民法院、最高人民检察院、</w:t>
      </w:r>
    </w:p>
    <w:p w14:paraId="27B1F8DB">
      <w:pPr>
        <w:jc w:val="center"/>
        <w:rPr>
          <w:rFonts w:hint="eastAsia" w:ascii="Kaiti SC Bold" w:hAnsi="Kaiti SC Bold" w:eastAsia="Kaiti SC Bold" w:cs="Kaiti SC Bold"/>
          <w:b/>
          <w:bCs/>
          <w:sz w:val="36"/>
          <w:szCs w:val="36"/>
          <w:lang w:eastAsia="zh-CN"/>
        </w:rPr>
      </w:pPr>
      <w:r>
        <w:rPr>
          <w:rFonts w:hint="eastAsia" w:ascii="Kaiti SC Bold" w:hAnsi="Kaiti SC Bold" w:eastAsia="Kaiti SC Bold" w:cs="Kaiti SC Bold"/>
          <w:b/>
          <w:bCs/>
          <w:sz w:val="36"/>
          <w:szCs w:val="36"/>
          <w:lang w:eastAsia="zh-CN"/>
        </w:rPr>
        <w:t>公安部、中国证券监督管理委员会</w:t>
      </w:r>
    </w:p>
    <w:p w14:paraId="0FA13322">
      <w:pPr>
        <w:jc w:val="center"/>
        <w:rPr>
          <w:rFonts w:hint="eastAsia" w:ascii="Kaiti SC Bold" w:hAnsi="Kaiti SC Bold" w:eastAsia="Kaiti SC Bold" w:cs="Kaiti SC Bold"/>
          <w:b/>
          <w:bCs/>
          <w:sz w:val="36"/>
          <w:szCs w:val="36"/>
          <w:lang w:eastAsia="zh-CN"/>
        </w:rPr>
      </w:pPr>
      <w:r>
        <w:rPr>
          <w:rFonts w:hint="eastAsia" w:ascii="Kaiti SC Bold" w:hAnsi="Kaiti SC Bold" w:eastAsia="Kaiti SC Bold" w:cs="Kaiti SC Bold"/>
          <w:b/>
          <w:bCs/>
          <w:sz w:val="36"/>
          <w:szCs w:val="36"/>
          <w:lang w:eastAsia="zh-CN"/>
        </w:rPr>
        <w:t>关于查询、冻结、扣划证券和证券交易</w:t>
      </w:r>
    </w:p>
    <w:p w14:paraId="43D0F05D">
      <w:pPr>
        <w:jc w:val="center"/>
        <w:rPr>
          <w:rFonts w:hint="eastAsia" w:ascii="Kaiti SC Bold" w:hAnsi="Kaiti SC Bold" w:eastAsia="Kaiti SC Bold" w:cs="Kaiti SC Bold"/>
          <w:b/>
          <w:bCs/>
          <w:sz w:val="36"/>
          <w:szCs w:val="36"/>
          <w:lang w:eastAsia="zh-CN"/>
        </w:rPr>
      </w:pPr>
      <w:r>
        <w:rPr>
          <w:rFonts w:hint="eastAsia" w:ascii="Kaiti SC Bold" w:hAnsi="Kaiti SC Bold" w:eastAsia="Kaiti SC Bold" w:cs="Kaiti SC Bold"/>
          <w:b/>
          <w:bCs/>
          <w:sz w:val="36"/>
          <w:szCs w:val="36"/>
          <w:lang w:eastAsia="zh-CN"/>
        </w:rPr>
        <w:t>结算资金有关问题的通知</w:t>
      </w:r>
    </w:p>
    <w:p w14:paraId="0AA0B013">
      <w:pPr>
        <w:jc w:val="center"/>
        <w:rPr>
          <w:rFonts w:hint="eastAsia"/>
          <w:lang w:eastAsia="zh-CN"/>
        </w:rPr>
      </w:pPr>
      <w:r>
        <w:rPr>
          <w:rFonts w:hint="eastAsia" w:ascii="Kaiti SC Regular" w:hAnsi="Kaiti SC Regular" w:eastAsia="Kaiti SC Regular" w:cs="Kaiti SC Regular"/>
          <w:sz w:val="24"/>
          <w:szCs w:val="24"/>
          <w:lang w:eastAsia="zh-CN"/>
        </w:rPr>
        <w:t>法发20084号</w:t>
      </w:r>
    </w:p>
    <w:p w14:paraId="496FE37D">
      <w:pPr>
        <w:rPr>
          <w:rFonts w:hint="eastAsia" w:ascii="楷体" w:hAnsi="楷体" w:eastAsia="楷体" w:cs="楷体"/>
          <w:sz w:val="28"/>
          <w:szCs w:val="28"/>
          <w:lang w:eastAsia="zh-CN"/>
        </w:rPr>
      </w:pPr>
      <w:r>
        <w:rPr>
          <w:rFonts w:hint="eastAsia" w:ascii="楷体" w:hAnsi="楷体" w:eastAsia="楷体" w:cs="楷体"/>
          <w:sz w:val="28"/>
          <w:szCs w:val="28"/>
          <w:lang w:eastAsia="zh-CN"/>
        </w:rPr>
        <w:t>各省、自治区、直辖市高级人民法院、人民检察院、公安厅（局），解放军军事法院、军事检察院，新疆维吾尔自治区高级人民法院生产建设兵团分院，新疆生产建设兵团人民检察院、公安局，中国证监会各省、自治区、直辖市、计划单列市监管局：</w:t>
      </w:r>
    </w:p>
    <w:p w14:paraId="21322659">
      <w:pPr>
        <w:ind w:firstLine="560" w:firstLineChars="200"/>
        <w:rPr>
          <w:rFonts w:hint="eastAsia" w:ascii="Kaiti SC Regular" w:hAnsi="Kaiti SC Regular" w:eastAsia="Kaiti SC Regular" w:cs="Kaiti SC Regular"/>
          <w:sz w:val="28"/>
          <w:szCs w:val="28"/>
          <w:lang w:eastAsia="zh-CN"/>
        </w:rPr>
      </w:pPr>
      <w:r>
        <w:rPr>
          <w:rFonts w:hint="eastAsia" w:ascii="Kaiti SC Regular" w:hAnsi="Kaiti SC Regular" w:eastAsia="Kaiti SC Regular" w:cs="Kaiti SC Regular"/>
          <w:sz w:val="28"/>
          <w:szCs w:val="28"/>
          <w:lang w:eastAsia="zh-CN"/>
        </w:rPr>
        <w:t>为维护正常的证券交易结算秩序，保护公民、法人和其他组织的合法权益，保障执法机关依法执行公务，根据《中华人民共和国刑事诉讼法》、《中华人民共和国民事诉讼法》、《中华人民共和国证券法》等法律以及司法解释的规定，现就人民法院、人民检察院、公安机关查询、冻结、扣划证券和证券交易结算资金的有关问题通知如下：</w:t>
      </w:r>
    </w:p>
    <w:p w14:paraId="6038440C">
      <w:pPr>
        <w:ind w:firstLine="560" w:firstLineChars="200"/>
        <w:rPr>
          <w:rFonts w:hint="eastAsia"/>
          <w:lang w:eastAsia="zh-CN"/>
        </w:rPr>
      </w:pPr>
      <w:r>
        <w:rPr>
          <w:rFonts w:hint="eastAsia" w:ascii="楷体" w:hAnsi="楷体" w:eastAsia="楷体" w:cs="楷体"/>
          <w:sz w:val="28"/>
          <w:szCs w:val="28"/>
          <w:lang w:eastAsia="zh-CN"/>
        </w:rPr>
        <w:t>一、人民法院、人民检察院、公安机关在办理案件过程中，按照法定权限需要通过证券登记结算机构或者证券公司查询、冻结、扣划证券和证券交易结算资金的，证券登记结算机构或者证券公司应当依法予以协助。</w:t>
      </w:r>
    </w:p>
    <w:p w14:paraId="038B63FD">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二、人民法院要求证券登记结算机构或者证券公司协助查询、冻结、扣划证券和证券交易结算资金，人民检察院、公安机关要求证券登记结算机构或者证券公司协助查询、冻结证券和证券交易结算资金时，有关执法人员应当依法出具相关证件和有效法律文书。执法人员证件齐全、手续完备的，证券登记结算机构或者证券公司应当签收有关法律文书并协助办理有关事项。拒绝签收人民法院生效法律文书的，可以留置送达。</w:t>
      </w:r>
    </w:p>
    <w:p w14:paraId="7119087B">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三、人民法院、人民检察院、公安机关可以依法向证券登记结算机构查询客户和证券公司的证券账户、证券交收账户和资金交收账户内已完成清算交收程序的余额、余额变动、开户资料等内容。</w:t>
      </w:r>
    </w:p>
    <w:p w14:paraId="1DB360E9">
      <w:pPr>
        <w:ind w:firstLine="560" w:firstLineChars="200"/>
        <w:rPr>
          <w:rFonts w:hint="eastAsia" w:ascii="楷体" w:hAnsi="楷体" w:eastAsia="楷体" w:cs="楷体"/>
          <w:i w:val="0"/>
          <w:iCs w:val="0"/>
          <w:caps w:val="0"/>
          <w:color w:val="333333"/>
          <w:spacing w:val="0"/>
          <w:kern w:val="0"/>
          <w:sz w:val="28"/>
          <w:szCs w:val="28"/>
          <w:u w:val="none"/>
          <w:lang w:val="en-US" w:eastAsia="zh-CN" w:bidi="ar"/>
        </w:rPr>
      </w:pPr>
      <w:r>
        <w:rPr>
          <w:rFonts w:hint="eastAsia" w:ascii="楷体" w:hAnsi="楷体" w:eastAsia="楷体" w:cs="楷体"/>
          <w:sz w:val="28"/>
          <w:szCs w:val="28"/>
          <w:lang w:eastAsia="zh-CN"/>
        </w:rPr>
        <w:t>人民法院、人民检察院、公安机关可以依法向证券公司查询客户的证券账户和资金账户、证券交收账户和资金交收账户内的余额、余额变动、证券及资金流向、开户资料等内容。</w:t>
      </w:r>
      <w:r>
        <w:rPr>
          <w:rFonts w:hint="eastAsia" w:ascii="楷体" w:hAnsi="楷体" w:eastAsia="楷体" w:cs="楷体"/>
          <w:i w:val="0"/>
          <w:iCs w:val="0"/>
          <w:caps w:val="0"/>
          <w:color w:val="333333"/>
          <w:spacing w:val="0"/>
          <w:kern w:val="0"/>
          <w:sz w:val="28"/>
          <w:szCs w:val="28"/>
          <w:u w:val="none"/>
          <w:lang w:val="en-US" w:eastAsia="zh-CN" w:bidi="ar"/>
        </w:rPr>
        <w:t>查询自然人账户的，应当提供自然人姓名和身份证件号码；查询法人账户的，应当提供法人名称和营业执照或者法人注册登记证书号码。</w:t>
      </w:r>
    </w:p>
    <w:p w14:paraId="7CDF41F5">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证券登记结算机构或者证券公司应当出具书面查询结果并加盖业务专用章。查询机关对查询结果有疑问时，证券登记结算机构、证券公司在必要时应当进行书面解释并加盖业务专用章。</w:t>
      </w:r>
    </w:p>
    <w:p w14:paraId="1F839B43">
      <w:pPr>
        <w:ind w:firstLine="560" w:firstLineChars="200"/>
        <w:rPr>
          <w:rFonts w:hint="eastAsia"/>
          <w:lang w:eastAsia="zh-CN"/>
        </w:rPr>
      </w:pPr>
      <w:r>
        <w:rPr>
          <w:rFonts w:hint="eastAsia" w:ascii="楷体" w:hAnsi="楷体" w:eastAsia="楷体" w:cs="楷体"/>
          <w:sz w:val="28"/>
          <w:szCs w:val="28"/>
          <w:lang w:eastAsia="zh-CN"/>
        </w:rPr>
        <w:t>四、人民法院、人民检察院、公安机关按照法定权限冻结、扣划相关证券、资金时，应当明确冻结、扣划证券、资金所在的账户名称、账户号码、冻结期限，所冻结、扣划证券的名称、数量或者资金的数额。扣划时，还应当明确拟划入的账户名称、账号。冻结证券和交易结算资金时，应当明确冻结的范围是否及于孳息。本通知规定的以证券登记结算机构名义建立的各类专门清算交收账户不得整体冻结。</w:t>
      </w:r>
    </w:p>
    <w:p w14:paraId="68E38C75">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五、证券登记结算机构依法按照业务规则收取并存放于专门清算交收账户内的下列证券，不得冻结、扣划：</w:t>
      </w:r>
    </w:p>
    <w:p w14:paraId="6B23D293">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（一）证券登记结算机构设立的证券集中交收账户、专用清偿账户、专用处置帐户内的证券；</w:t>
      </w:r>
    </w:p>
    <w:p w14:paraId="30DED4E8">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（二）证券公司按照业务规则在证券登记结算机构开设的客户证券交收账户、自营证券交收账户和证券处置账户内的证券。</w:t>
      </w:r>
    </w:p>
    <w:p w14:paraId="55517234">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六、证券登记结算机构依法按照业务规则收取并存放于专门清算交收账户内的下列资金，不得冻结、扣划：</w:t>
      </w:r>
    </w:p>
    <w:p w14:paraId="501EA644">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（一）证券登记结算机构设立的资金集中交收账户、专用清偿账户内的资金；</w:t>
      </w:r>
    </w:p>
    <w:p w14:paraId="308031FB">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（二）证券登记结算机构依法收取的证券结算风险基金和结算互保金；</w:t>
      </w:r>
    </w:p>
    <w:p w14:paraId="134F4669">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（三）证券登记结算机构在银行开设的结算备付金专用存款账户和新股发行验资专户内的资金，以及证券登记结算机构为新股发行网下申购配售对象开立的网下申购资金账户内的资金；</w:t>
      </w:r>
    </w:p>
    <w:p w14:paraId="0C52C978">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（四）证券公司在证券登记结算机构开设的客户资金交收账户内的资金；</w:t>
      </w:r>
    </w:p>
    <w:p w14:paraId="09A59B41">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（五）证券公司在证券登记结算机构开设的自营资金交收账户内最低限额自营结算备付金及根据成交结果确定的应付资金。</w:t>
      </w:r>
    </w:p>
    <w:p w14:paraId="2B220E8C">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七、证券登记结算机构依法按照业务规则要求证券公司等结算参与人、投资者或者发行人提供的回购质押券、价差担保物、行权担保物、履约担保物，在交收完成之前，不得冻结、扣划。</w:t>
      </w:r>
    </w:p>
    <w:p w14:paraId="3A460C3F">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八、</w:t>
      </w:r>
      <w:r>
        <w:rPr>
          <w:rFonts w:hint="eastAsia" w:ascii="楷体" w:hAnsi="楷体" w:eastAsia="楷体" w:cs="楷体"/>
          <w:i w:val="0"/>
          <w:iCs w:val="0"/>
          <w:caps w:val="0"/>
          <w:color w:val="333333"/>
          <w:spacing w:val="0"/>
          <w:kern w:val="0"/>
          <w:sz w:val="28"/>
          <w:szCs w:val="28"/>
          <w:u w:val="none"/>
          <w:lang w:val="en-US" w:eastAsia="zh-CN" w:bidi="ar"/>
        </w:rPr>
        <w:t>证券公司在银行开立的自营资金账户内的资金可以冻结、扣划。</w:t>
      </w:r>
    </w:p>
    <w:p w14:paraId="2D512998">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九、在证券公司托管的证券的冻结、扣划，既可以在托管的证券公司办理，也可以在证券登记结算机构办理。不同的执法机关同一交易日分别在证券公司、证券登记结算机构对同一笔证券办理冻结、扣划手续的，证券公司协助办理的为在先冻结、扣划。</w:t>
      </w:r>
    </w:p>
    <w:p w14:paraId="65DC5FFA">
      <w:pPr>
        <w:ind w:firstLine="560" w:firstLineChars="200"/>
        <w:rPr>
          <w:rFonts w:hint="eastAsia" w:ascii="楷体" w:hAnsi="楷体" w:eastAsia="楷体" w:cs="楷体"/>
          <w:sz w:val="28"/>
          <w:szCs w:val="28"/>
          <w:lang w:eastAsia="zh-CN"/>
        </w:rPr>
      </w:pPr>
      <w:r>
        <w:rPr>
          <w:rFonts w:hint="eastAsia" w:ascii="楷体" w:hAnsi="楷体" w:eastAsia="楷体" w:cs="楷体"/>
          <w:i w:val="0"/>
          <w:iCs w:val="0"/>
          <w:caps w:val="0"/>
          <w:color w:val="333333"/>
          <w:spacing w:val="0"/>
          <w:kern w:val="0"/>
          <w:sz w:val="28"/>
          <w:szCs w:val="28"/>
          <w:u w:val="none"/>
          <w:lang w:val="en-US" w:eastAsia="zh-CN" w:bidi="ar"/>
        </w:rPr>
        <w:t>冻结、扣划未在证券公司或者其他托管机构托管的证券或者证券公司自营证券的，由证券登记结算机构协助办理。</w:t>
      </w:r>
    </w:p>
    <w:p w14:paraId="226EE454">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十、</w:t>
      </w:r>
      <w:r>
        <w:rPr>
          <w:rFonts w:hint="eastAsia" w:ascii="楷体" w:hAnsi="楷体" w:eastAsia="楷体" w:cs="楷体"/>
          <w:i w:val="0"/>
          <w:iCs w:val="0"/>
          <w:caps w:val="0"/>
          <w:color w:val="333333"/>
          <w:spacing w:val="0"/>
          <w:kern w:val="0"/>
          <w:sz w:val="28"/>
          <w:szCs w:val="28"/>
          <w:u w:val="none"/>
          <w:lang w:val="en-US" w:eastAsia="zh-CN" w:bidi="ar"/>
        </w:rPr>
        <w:t>证券登记结算机构受理冻结、扣划要求后，应当在受理日对应的交收日交收程序完成后根据交收结果协助冻结、扣划。证券公司受理冻结、扣划要求后，应当立即停止证券交易，冻结时已经下单但尚未搓合成功的应当采取撤单措施。冻结后，根据成交结果确定的用于交收的应付证券和应付资金可以进行正常交收。在交收程序完成后，对于剩余部分可以扣划。同时，证券公司应当根据成交结果计算出等额的应收资金或者应收证券交由执法机关冻结或者扣划。</w:t>
      </w:r>
    </w:p>
    <w:p w14:paraId="5C9376A1">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十一、已被人民法院、人民检察院、公安机关冻结的证券或证券交易结算资金，其他人民法院、人民检察院、公安机关或者同一机关因不同案件可以进行轮候冻结。冻结解除的，登记在先的轮候冻结自动生效。轮候冻结生效后，协助冻结的证券登记结算机构或者证券公司应当书面通知做出该轮候冻结的机关。</w:t>
      </w:r>
    </w:p>
    <w:p w14:paraId="5A0A0123">
      <w:pPr>
        <w:ind w:firstLine="560" w:firstLineChars="200"/>
        <w:rPr>
          <w:rFonts w:hint="eastAsia"/>
          <w:lang w:eastAsia="zh-CN"/>
        </w:rPr>
      </w:pPr>
      <w:r>
        <w:rPr>
          <w:rFonts w:hint="eastAsia" w:ascii="楷体" w:hAnsi="楷体" w:eastAsia="楷体" w:cs="楷体"/>
          <w:sz w:val="28"/>
          <w:szCs w:val="28"/>
          <w:lang w:eastAsia="zh-CN"/>
        </w:rPr>
        <w:t>十二、冻结证券的期限不得超过二年，冻结交易结算资金的期限不得超过六个月。需要延长冻结期限的，应当在冻结期限届满前办理续行冻结手续，每次续行冻结的期限不得超过前款规定的期限。</w:t>
      </w:r>
    </w:p>
    <w:p w14:paraId="4AF30513">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十三、不同的人民法院、人民检察院、公安机关对同一笔证券或者交易结算资金要求冻结、扣划或者轮候冻结时，证券登记结算机构或者证券公司应当按照送达协助冻结、扣划通知书的先后顺序办理协助事项。</w:t>
      </w:r>
    </w:p>
    <w:p w14:paraId="504809A9">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十四、要求冻结、扣划的人民法院、人民检察院、公安机关之间，因冻结、扣划事项发生争议的，要求冻结、扣划的机关应当自行协商解决。协商不成的，由其共同上级机关决定；没有共同上级机关的，由其各自的上级机关协商解决。</w:t>
      </w:r>
    </w:p>
    <w:p w14:paraId="41ACC701">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在争议解决之前，协助冻结的证券登记结算机构或者证券公司应当按照争议机关所送达法律文书载明的最大标的范围对争议标的进行控制。</w:t>
      </w:r>
    </w:p>
    <w:p w14:paraId="3CD18569">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十五、依法应当予以协助而拒绝协助，或者向当事人通风报信，或者与当事人通谋转移、隐匿财产的，对有关的证券登记结算机构或者证券公司和直接责任人应当依法进行制裁。</w:t>
      </w:r>
    </w:p>
    <w:p w14:paraId="6A2292A2">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十六、以前规定与本通知规定内容不一致的，以本通知为准。</w:t>
      </w:r>
    </w:p>
    <w:p w14:paraId="251C908B">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十七、本通知中所规定的证券登记结算机构，是指中国证券登记结算有限责任公司及其分公司。</w:t>
      </w:r>
    </w:p>
    <w:p w14:paraId="2FB4D4BF">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十八、本通知自2008年3月1日起实施。</w:t>
      </w:r>
    </w:p>
    <w:p w14:paraId="7AF654B0">
      <w:pPr>
        <w:ind w:firstLine="5040" w:firstLineChars="1800"/>
        <w:rPr>
          <w:rFonts w:hint="eastAsia" w:ascii="楷体" w:hAnsi="楷体" w:eastAsia="楷体" w:cs="楷体"/>
          <w:sz w:val="28"/>
          <w:szCs w:val="28"/>
          <w:lang w:eastAsia="zh-CN"/>
        </w:rPr>
      </w:pPr>
      <w:bookmarkStart w:id="0" w:name="_GoBack"/>
      <w:bookmarkEnd w:id="0"/>
      <w:r>
        <w:rPr>
          <w:rFonts w:hint="eastAsia" w:ascii="楷体" w:hAnsi="楷体" w:eastAsia="楷体" w:cs="楷体"/>
          <w:sz w:val="28"/>
          <w:szCs w:val="28"/>
          <w:lang w:eastAsia="zh-CN"/>
        </w:rPr>
        <w:t>二〇〇八年一月十日</w:t>
      </w:r>
    </w:p>
    <w:p w14:paraId="4FE3A2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Kaiti SC Regular">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华文楷体">
    <w:panose1 w:val="02010600040101010101"/>
    <w:charset w:val="86"/>
    <w:family w:val="auto"/>
    <w:pitch w:val="default"/>
    <w:sig w:usb0="80000287" w:usb1="280F3C52" w:usb2="00000016" w:usb3="00000000" w:csb0="0004001F"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Gujarati MT Regular">
    <w:panose1 w:val="00000500070000000000"/>
    <w:charset w:val="00"/>
    <w:family w:val="auto"/>
    <w:pitch w:val="default"/>
    <w:sig w:usb0="80048003" w:usb1="1000C0C1" w:usb2="00000000" w:usb3="00000000" w:csb0="00000001" w:csb1="00000000"/>
  </w:font>
  <w:font w:name="Futura Medium">
    <w:panose1 w:val="020B0602020204020303"/>
    <w:charset w:val="00"/>
    <w:family w:val="auto"/>
    <w:pitch w:val="default"/>
    <w:sig w:usb0="80000067" w:usb1="00000000" w:usb2="00000000" w:usb3="00000000" w:csb0="200001FB" w:csb1="CDFD0000"/>
  </w:font>
  <w:font w:name="Bangla Sangam MN Regular">
    <w:panose1 w:val="02000000000000000000"/>
    <w:charset w:val="00"/>
    <w:family w:val="auto"/>
    <w:pitch w:val="default"/>
    <w:sig w:usb0="80800003" w:usb1="00000000" w:usb2="00000000" w:usb3="00000000" w:csb0="00000001" w:csb1="00000000"/>
  </w:font>
  <w:font w:name="魏碑-简">
    <w:panose1 w:val="03000800000000000000"/>
    <w:charset w:val="86"/>
    <w:family w:val="auto"/>
    <w:pitch w:val="default"/>
    <w:sig w:usb0="A00002FF" w:usb1="78CFFCFB" w:usb2="00080016" w:usb3="00000000" w:csb0="20060187" w:csb1="00000000"/>
  </w:font>
  <w:font w:name="Helvetica Neue Regular">
    <w:panose1 w:val="02000503000000020004"/>
    <w:charset w:val="00"/>
    <w:family w:val="auto"/>
    <w:pitch w:val="default"/>
    <w:sig w:usb0="E50002FF" w:usb1="500079DB" w:usb2="00000010" w:usb3="00000000" w:csb0="00000000" w:csb1="00000000"/>
  </w:font>
  <w:font w:name="Geneva">
    <w:panose1 w:val="020B0503030404040204"/>
    <w:charset w:val="00"/>
    <w:family w:val="auto"/>
    <w:pitch w:val="default"/>
    <w:sig w:usb0="E00002FF" w:usb1="5200205F" w:usb2="00A0C000" w:usb3="00000200" w:csb0="2000019F" w:csb1="00000000"/>
  </w:font>
  <w:font w:name="Avenir Next Condensed Regular">
    <w:panose1 w:val="020B0806020202020204"/>
    <w:charset w:val="00"/>
    <w:family w:val="auto"/>
    <w:pitch w:val="default"/>
    <w:sig w:usb0="8000002F" w:usb1="5000204A" w:usb2="00000000" w:usb3="00000000" w:csb0="0000009B" w:csb1="00000000"/>
  </w:font>
  <w:font w:name="Xingkai SC Light">
    <w:panose1 w:val="02010800040101010101"/>
    <w:charset w:val="86"/>
    <w:family w:val="auto"/>
    <w:pitch w:val="default"/>
    <w:sig w:usb0="00000001" w:usb1="080F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284B"/>
    <w:rsid w:val="6FFFCBDE"/>
    <w:rsid w:val="7FFE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36</TotalTime>
  <ScaleCrop>false</ScaleCrop>
  <LinksUpToDate>false</LinksUpToDate>
  <CharactersWithSpaces>0</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2025-06-24T17:58:00Z</dcterms:created>
  <dc:creator>姚lawyer</dc:creator>
  <cp:lastModifiedBy>姚lawyer</cp:lastModifiedBy>
  <dcterms:modified xsi:type="dcterms:W3CDTF">2025-06-24T18:39:43Z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4F73BC1EE932E5C6B8765A68939511A2_41</vt:lpwstr>
  </property>
</Properties>
</file>